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b w:val="0"/>
          <w:bCs w:val="0"/>
          <w:color w:val="auto"/>
          <w:sz w:val="72"/>
          <w:szCs w:val="72"/>
          <w:highlight w:val="none"/>
        </w:rPr>
      </w:pPr>
      <w:bookmarkStart w:id="0" w:name="_Toc15396475"/>
      <w:bookmarkStart w:id="1" w:name="_Toc15377425"/>
      <w:bookmarkStart w:id="2" w:name="_Toc15377193"/>
      <w:bookmarkStart w:id="3" w:name="_Toc15396597"/>
      <w:bookmarkStart w:id="4" w:name="_Toc15378441"/>
      <w:bookmarkStart w:id="5" w:name="_Toc15306267"/>
    </w:p>
    <w:p>
      <w:pPr>
        <w:spacing w:line="600" w:lineRule="exact"/>
        <w:jc w:val="center"/>
        <w:outlineLvl w:val="0"/>
        <w:rPr>
          <w:rFonts w:ascii="方正小标宋简体" w:hAnsi="宋体" w:eastAsia="方正小标宋简体"/>
          <w:b w:val="0"/>
          <w:bCs w:val="0"/>
          <w:color w:val="auto"/>
          <w:sz w:val="72"/>
          <w:szCs w:val="72"/>
          <w:highlight w:val="none"/>
        </w:rPr>
      </w:pPr>
    </w:p>
    <w:p>
      <w:pPr>
        <w:spacing w:line="600" w:lineRule="exact"/>
        <w:jc w:val="center"/>
        <w:outlineLvl w:val="0"/>
        <w:rPr>
          <w:rFonts w:ascii="方正小标宋简体" w:hAnsi="宋体" w:eastAsia="方正小标宋简体"/>
          <w:b w:val="0"/>
          <w:bCs w:val="0"/>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auto"/>
          <w:sz w:val="72"/>
          <w:szCs w:val="72"/>
          <w:highlight w:val="none"/>
        </w:rPr>
      </w:pPr>
      <w:r>
        <w:rPr>
          <w:rFonts w:hint="eastAsia" w:ascii="方正小标宋简体" w:hAnsi="方正小标宋简体" w:eastAsia="方正小标宋简体" w:cs="方正小标宋简体"/>
          <w:b w:val="0"/>
          <w:bCs w:val="0"/>
          <w:color w:val="auto"/>
          <w:sz w:val="72"/>
          <w:szCs w:val="72"/>
          <w:highlight w:val="none"/>
        </w:rPr>
        <w:t>20</w:t>
      </w:r>
      <w:r>
        <w:rPr>
          <w:rFonts w:hint="eastAsia" w:ascii="方正小标宋简体" w:hAnsi="方正小标宋简体" w:eastAsia="方正小标宋简体" w:cs="方正小标宋简体"/>
          <w:b w:val="0"/>
          <w:bCs w:val="0"/>
          <w:color w:val="auto"/>
          <w:sz w:val="72"/>
          <w:szCs w:val="72"/>
          <w:highlight w:val="none"/>
          <w:lang w:val="en-US" w:eastAsia="zh-CN"/>
        </w:rPr>
        <w:t>22</w:t>
      </w:r>
      <w:r>
        <w:rPr>
          <w:rFonts w:hint="eastAsia" w:ascii="方正小标宋简体" w:hAnsi="方正小标宋简体" w:eastAsia="方正小标宋简体" w:cs="方正小标宋简体"/>
          <w:b w:val="0"/>
          <w:bCs w:val="0"/>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auto"/>
          <w:sz w:val="72"/>
          <w:szCs w:val="72"/>
          <w:highlight w:val="none"/>
        </w:rPr>
      </w:pPr>
      <w:bookmarkStart w:id="6" w:name="_Toc15396476"/>
      <w:bookmarkStart w:id="7" w:name="_Toc15396598"/>
      <w:bookmarkStart w:id="8" w:name="_Toc15377426"/>
      <w:bookmarkStart w:id="9" w:name="_Toc15378442"/>
      <w:bookmarkStart w:id="10" w:name="_Toc15377194"/>
      <w:r>
        <w:rPr>
          <w:rFonts w:hint="eastAsia" w:ascii="方正小标宋简体" w:hAnsi="方正小标宋简体" w:eastAsia="方正小标宋简体" w:cs="方正小标宋简体"/>
          <w:b w:val="0"/>
          <w:bCs w:val="0"/>
          <w:color w:val="auto"/>
          <w:sz w:val="52"/>
          <w:szCs w:val="52"/>
          <w:highlight w:val="none"/>
          <w:lang w:val="en-US" w:eastAsia="zh-CN"/>
        </w:rPr>
        <w:t>泸县</w:t>
      </w:r>
      <w:bookmarkEnd w:id="5"/>
      <w:bookmarkStart w:id="11" w:name="_Toc15306268"/>
      <w:r>
        <w:rPr>
          <w:rFonts w:hint="eastAsia" w:ascii="方正小标宋简体" w:hAnsi="方正小标宋简体" w:eastAsia="方正小标宋简体" w:cs="方正小标宋简体"/>
          <w:b w:val="0"/>
          <w:bCs w:val="0"/>
          <w:color w:val="auto"/>
          <w:sz w:val="52"/>
          <w:szCs w:val="52"/>
          <w:highlight w:val="none"/>
          <w:lang w:val="en-US" w:eastAsia="zh-CN"/>
        </w:rPr>
        <w:t>工商业联合会</w:t>
      </w:r>
      <w:r>
        <w:rPr>
          <w:rFonts w:hint="eastAsia" w:ascii="方正小标宋简体" w:hAnsi="方正小标宋简体" w:eastAsia="方正小标宋简体" w:cs="方正小标宋简体"/>
          <w:b w:val="0"/>
          <w:bCs w:val="0"/>
          <w:color w:val="auto"/>
          <w:sz w:val="52"/>
          <w:szCs w:val="52"/>
          <w:highlight w:val="none"/>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b w:val="0"/>
          <w:bCs w:val="0"/>
          <w:color w:val="auto"/>
          <w:sz w:val="52"/>
          <w:szCs w:val="52"/>
          <w:highlight w:val="none"/>
        </w:rPr>
      </w:pPr>
      <w:r>
        <w:rPr>
          <w:rFonts w:hint="eastAsia" w:ascii="方正小标宋简体" w:hAnsi="宋体" w:eastAsia="方正小标宋简体"/>
          <w:b w:val="0"/>
          <w:bCs w:val="0"/>
          <w:color w:val="auto"/>
          <w:sz w:val="52"/>
          <w:szCs w:val="52"/>
          <w:highlight w:val="none"/>
        </w:rPr>
        <w:t>(</w:t>
      </w:r>
      <w:r>
        <w:rPr>
          <w:rFonts w:hint="eastAsia" w:ascii="方正小标宋简体" w:hAnsi="宋体" w:eastAsia="方正小标宋简体"/>
          <w:b w:val="0"/>
          <w:bCs w:val="0"/>
          <w:color w:val="auto"/>
          <w:sz w:val="52"/>
          <w:szCs w:val="52"/>
          <w:highlight w:val="none"/>
          <w:lang w:eastAsia="zh-CN"/>
        </w:rPr>
        <w:t>部门公开</w:t>
      </w:r>
      <w:r>
        <w:rPr>
          <w:rFonts w:hint="eastAsia" w:ascii="方正小标宋简体" w:hAnsi="宋体" w:eastAsia="方正小标宋简体"/>
          <w:b w:val="0"/>
          <w:bCs w:val="0"/>
          <w:color w:val="auto"/>
          <w:sz w:val="52"/>
          <w:szCs w:val="52"/>
          <w:highlight w:val="none"/>
        </w:rPr>
        <w:t>范本)</w:t>
      </w:r>
    </w:p>
    <w:p>
      <w:pPr>
        <w:widowControl/>
        <w:jc w:val="center"/>
        <w:rPr>
          <w:rFonts w:ascii="黑体" w:hAnsi="黑体" w:eastAsia="黑体"/>
          <w:b w:val="0"/>
          <w:bCs w:val="0"/>
          <w:color w:val="auto"/>
          <w:sz w:val="48"/>
          <w:szCs w:val="48"/>
          <w:highlight w:val="none"/>
        </w:rPr>
      </w:pPr>
      <w:r>
        <w:rPr>
          <w:rFonts w:ascii="方正小标宋简体" w:hAnsi="宋体" w:eastAsia="方正小标宋简体"/>
          <w:b w:val="0"/>
          <w:bCs w:val="0"/>
          <w:color w:val="auto"/>
          <w:sz w:val="36"/>
          <w:szCs w:val="36"/>
          <w:highlight w:val="none"/>
        </w:rPr>
        <w:br w:type="page"/>
      </w:r>
      <w:r>
        <w:rPr>
          <w:rFonts w:hint="eastAsia" w:ascii="黑体" w:hAnsi="黑体" w:eastAsia="黑体"/>
          <w:b w:val="0"/>
          <w:bCs w:val="0"/>
          <w:color w:val="auto"/>
          <w:sz w:val="48"/>
          <w:szCs w:val="48"/>
          <w:highlight w:val="none"/>
        </w:rPr>
        <w:t>目录</w:t>
      </w:r>
    </w:p>
    <w:p>
      <w:pPr>
        <w:widowControl/>
        <w:jc w:val="center"/>
        <w:rPr>
          <w:rFonts w:ascii="黑体" w:hAnsi="黑体" w:eastAsia="黑体" w:cstheme="minorBidi"/>
          <w:b w:val="0"/>
          <w:bCs w:val="0"/>
          <w:color w:val="auto"/>
          <w:sz w:val="28"/>
          <w:szCs w:val="28"/>
          <w:highlight w:val="none"/>
        </w:rPr>
      </w:pPr>
    </w:p>
    <w:p>
      <w:pPr>
        <w:pStyle w:val="14"/>
        <w:rPr>
          <w:b w:val="0"/>
          <w:bCs w:val="0"/>
          <w:color w:val="auto"/>
          <w:highlight w:val="none"/>
        </w:rPr>
      </w:pPr>
      <w:r>
        <w:rPr>
          <w:rFonts w:hint="eastAsia"/>
          <w:b w:val="0"/>
          <w:bCs w:val="0"/>
          <w:color w:val="auto"/>
          <w:highlight w:val="none"/>
        </w:rPr>
        <w:t>公开时间：20</w:t>
      </w:r>
      <w:r>
        <w:rPr>
          <w:rFonts w:hint="eastAsia"/>
          <w:b w:val="0"/>
          <w:bCs w:val="0"/>
          <w:color w:val="auto"/>
          <w:highlight w:val="none"/>
          <w:lang w:val="en-US" w:eastAsia="zh-CN"/>
        </w:rPr>
        <w:t>23</w:t>
      </w:r>
      <w:r>
        <w:rPr>
          <w:rFonts w:hint="eastAsia"/>
          <w:b w:val="0"/>
          <w:bCs w:val="0"/>
          <w:color w:val="auto"/>
          <w:highlight w:val="none"/>
        </w:rPr>
        <w:t>年</w:t>
      </w:r>
      <w:r>
        <w:rPr>
          <w:rFonts w:hint="eastAsia"/>
          <w:b w:val="0"/>
          <w:bCs w:val="0"/>
          <w:color w:val="auto"/>
          <w:highlight w:val="none"/>
          <w:lang w:val="en-US" w:eastAsia="zh-CN"/>
        </w:rPr>
        <w:t>10</w:t>
      </w:r>
      <w:r>
        <w:rPr>
          <w:rFonts w:hint="eastAsia"/>
          <w:b w:val="0"/>
          <w:bCs w:val="0"/>
          <w:color w:val="auto"/>
          <w:highlight w:val="none"/>
        </w:rPr>
        <w:t>月</w:t>
      </w:r>
      <w:r>
        <w:rPr>
          <w:rFonts w:hint="eastAsia"/>
          <w:b w:val="0"/>
          <w:bCs w:val="0"/>
          <w:color w:val="auto"/>
          <w:highlight w:val="none"/>
          <w:lang w:val="en-US" w:eastAsia="zh-CN"/>
        </w:rPr>
        <w:t>7</w:t>
      </w:r>
      <w:r>
        <w:rPr>
          <w:rFonts w:hint="eastAsia"/>
          <w:b w:val="0"/>
          <w:bCs w:val="0"/>
          <w:color w:val="auto"/>
          <w:highlight w:val="none"/>
        </w:rPr>
        <w:t>日</w:t>
      </w:r>
    </w:p>
    <w:p>
      <w:pPr>
        <w:rPr>
          <w:b w:val="0"/>
          <w:bCs w:val="0"/>
          <w:color w:val="auto"/>
          <w:highlight w:val="none"/>
        </w:rPr>
      </w:pPr>
    </w:p>
    <w:p>
      <w:pPr>
        <w:pStyle w:val="14"/>
        <w:adjustRightInd w:val="0"/>
        <w:snapToGrid w:val="0"/>
        <w:spacing w:before="0" w:line="440" w:lineRule="exact"/>
        <w:jc w:val="left"/>
        <w:rPr>
          <w:rFonts w:cstheme="minorBidi"/>
          <w:b w:val="0"/>
          <w:bCs w:val="0"/>
          <w:color w:val="auto"/>
          <w:sz w:val="24"/>
          <w:szCs w:val="24"/>
          <w:highlight w:val="none"/>
        </w:rPr>
      </w:pPr>
      <w:r>
        <w:rPr>
          <w:rFonts w:hint="eastAsia"/>
          <w:b w:val="0"/>
          <w:bCs w:val="0"/>
          <w:color w:val="auto"/>
          <w:sz w:val="24"/>
          <w:highlight w:val="none"/>
        </w:rPr>
        <w:t>第一部分</w:t>
      </w:r>
      <w:r>
        <w:rPr>
          <w:b w:val="0"/>
          <w:bCs w:val="0"/>
          <w:color w:val="auto"/>
          <w:sz w:val="24"/>
          <w:highlight w:val="none"/>
        </w:rPr>
        <w:t xml:space="preserve"> </w:t>
      </w:r>
      <w:r>
        <w:rPr>
          <w:rFonts w:hint="eastAsia"/>
          <w:b w:val="0"/>
          <w:bCs w:val="0"/>
          <w:color w:val="auto"/>
          <w:sz w:val="24"/>
          <w:highlight w:val="none"/>
        </w:rPr>
        <w:t>部门概况</w:t>
      </w:r>
    </w:p>
    <w:p>
      <w:pPr>
        <w:pStyle w:val="15"/>
        <w:adjustRightInd w:val="0"/>
        <w:snapToGrid w:val="0"/>
        <w:spacing w:line="440" w:lineRule="exact"/>
        <w:jc w:val="left"/>
        <w:rPr>
          <w:rFonts w:ascii="仿宋" w:hAnsi="仿宋" w:eastAsia="仿宋"/>
          <w:b w:val="0"/>
          <w:bCs w:val="0"/>
          <w:color w:val="auto"/>
          <w:sz w:val="24"/>
          <w:highlight w:val="none"/>
        </w:rPr>
      </w:pPr>
      <w:r>
        <w:rPr>
          <w:rFonts w:hint="eastAsia"/>
          <w:b w:val="0"/>
          <w:bCs w:val="0"/>
          <w:color w:val="auto"/>
          <w:sz w:val="24"/>
          <w:highlight w:val="none"/>
        </w:rPr>
        <w:t>一、</w:t>
      </w:r>
      <w:r>
        <w:rPr>
          <w:rFonts w:hint="eastAsia"/>
          <w:b w:val="0"/>
          <w:bCs w:val="0"/>
          <w:color w:val="auto"/>
          <w:sz w:val="24"/>
          <w:highlight w:val="none"/>
          <w:lang w:eastAsia="zh-CN"/>
        </w:rPr>
        <w:t>部门职责</w:t>
      </w:r>
    </w:p>
    <w:p>
      <w:pPr>
        <w:pStyle w:val="15"/>
        <w:adjustRightInd w:val="0"/>
        <w:snapToGrid w:val="0"/>
        <w:spacing w:line="440" w:lineRule="exact"/>
        <w:jc w:val="left"/>
        <w:rPr>
          <w:rFonts w:ascii="仿宋" w:hAnsi="仿宋" w:eastAsia="仿宋" w:cstheme="minorBidi"/>
          <w:b w:val="0"/>
          <w:bCs w:val="0"/>
          <w:color w:val="auto"/>
          <w:sz w:val="24"/>
          <w:highlight w:val="none"/>
        </w:rPr>
      </w:pPr>
      <w:r>
        <w:rPr>
          <w:rFonts w:hint="eastAsia"/>
          <w:b w:val="0"/>
          <w:bCs w:val="0"/>
          <w:color w:val="auto"/>
          <w:sz w:val="24"/>
          <w:highlight w:val="none"/>
        </w:rPr>
        <w:t>二、机构设置</w:t>
      </w:r>
    </w:p>
    <w:p>
      <w:pPr>
        <w:pStyle w:val="14"/>
        <w:adjustRightInd w:val="0"/>
        <w:snapToGrid w:val="0"/>
        <w:spacing w:before="0" w:line="440" w:lineRule="exact"/>
        <w:jc w:val="left"/>
        <w:rPr>
          <w:b w:val="0"/>
          <w:bCs w:val="0"/>
          <w:color w:val="auto"/>
          <w:sz w:val="24"/>
          <w:szCs w:val="24"/>
          <w:highlight w:val="none"/>
        </w:rPr>
      </w:pPr>
      <w:r>
        <w:rPr>
          <w:rFonts w:hint="eastAsia"/>
          <w:b w:val="0"/>
          <w:bCs w:val="0"/>
          <w:color w:val="auto"/>
          <w:sz w:val="24"/>
          <w:highlight w:val="none"/>
        </w:rPr>
        <w:t>第二部分</w:t>
      </w:r>
      <w:r>
        <w:rPr>
          <w:rFonts w:hint="eastAsia"/>
          <w:b w:val="0"/>
          <w:bCs w:val="0"/>
          <w:color w:val="auto"/>
          <w:sz w:val="24"/>
          <w:highlight w:val="none"/>
          <w:lang w:val="en-US" w:eastAsia="zh-CN"/>
        </w:rPr>
        <w:t xml:space="preserve"> 2022年度</w:t>
      </w:r>
      <w:r>
        <w:rPr>
          <w:rFonts w:hint="eastAsia"/>
          <w:b w:val="0"/>
          <w:bCs w:val="0"/>
          <w:color w:val="auto"/>
          <w:sz w:val="24"/>
          <w:highlight w:val="none"/>
        </w:rPr>
        <w:t>部门决算情况说明</w:t>
      </w:r>
    </w:p>
    <w:p>
      <w:pPr>
        <w:pStyle w:val="15"/>
        <w:adjustRightInd w:val="0"/>
        <w:snapToGrid w:val="0"/>
        <w:spacing w:line="440" w:lineRule="exact"/>
        <w:jc w:val="left"/>
        <w:rPr>
          <w:rFonts w:ascii="仿宋" w:hAnsi="仿宋" w:eastAsia="仿宋" w:cstheme="minorBidi"/>
          <w:b w:val="0"/>
          <w:bCs w:val="0"/>
          <w:color w:val="auto"/>
          <w:sz w:val="24"/>
          <w:highlight w:val="none"/>
        </w:rPr>
      </w:pPr>
      <w:r>
        <w:rPr>
          <w:rFonts w:hint="eastAsia"/>
          <w:b w:val="0"/>
          <w:bCs w:val="0"/>
          <w:color w:val="auto"/>
          <w:sz w:val="24"/>
          <w:highlight w:val="none"/>
        </w:rPr>
        <w:t>一、收入支出决算总体情况说明</w:t>
      </w:r>
    </w:p>
    <w:p>
      <w:pPr>
        <w:pStyle w:val="15"/>
        <w:adjustRightInd w:val="0"/>
        <w:snapToGrid w:val="0"/>
        <w:spacing w:line="440" w:lineRule="exact"/>
        <w:jc w:val="left"/>
        <w:rPr>
          <w:rFonts w:ascii="仿宋" w:hAnsi="仿宋" w:eastAsia="仿宋" w:cstheme="minorBidi"/>
          <w:b w:val="0"/>
          <w:bCs w:val="0"/>
          <w:color w:val="auto"/>
          <w:sz w:val="24"/>
          <w:highlight w:val="none"/>
        </w:rPr>
      </w:pPr>
      <w:r>
        <w:rPr>
          <w:rFonts w:hint="eastAsia"/>
          <w:b w:val="0"/>
          <w:bCs w:val="0"/>
          <w:color w:val="auto"/>
          <w:sz w:val="24"/>
          <w:highlight w:val="none"/>
        </w:rPr>
        <w:t>二、收入决算情况说明</w:t>
      </w:r>
    </w:p>
    <w:p>
      <w:pPr>
        <w:pStyle w:val="15"/>
        <w:adjustRightInd w:val="0"/>
        <w:snapToGrid w:val="0"/>
        <w:spacing w:line="440" w:lineRule="exact"/>
        <w:jc w:val="left"/>
        <w:rPr>
          <w:rFonts w:ascii="仿宋" w:hAnsi="仿宋" w:eastAsia="仿宋" w:cstheme="minorBidi"/>
          <w:b w:val="0"/>
          <w:bCs w:val="0"/>
          <w:color w:val="auto"/>
          <w:sz w:val="24"/>
          <w:highlight w:val="none"/>
        </w:rPr>
      </w:pPr>
      <w:r>
        <w:rPr>
          <w:rFonts w:hint="eastAsia"/>
          <w:b w:val="0"/>
          <w:bCs w:val="0"/>
          <w:color w:val="auto"/>
          <w:sz w:val="24"/>
          <w:highlight w:val="none"/>
        </w:rPr>
        <w:t>三、支出决算情况说明</w:t>
      </w:r>
    </w:p>
    <w:p>
      <w:pPr>
        <w:pStyle w:val="15"/>
        <w:adjustRightInd w:val="0"/>
        <w:snapToGrid w:val="0"/>
        <w:spacing w:line="440" w:lineRule="exact"/>
        <w:jc w:val="left"/>
        <w:rPr>
          <w:rFonts w:ascii="仿宋" w:hAnsi="仿宋" w:eastAsia="仿宋" w:cstheme="minorBidi"/>
          <w:b w:val="0"/>
          <w:bCs w:val="0"/>
          <w:color w:val="auto"/>
          <w:sz w:val="24"/>
          <w:highlight w:val="none"/>
        </w:rPr>
      </w:pPr>
      <w:r>
        <w:rPr>
          <w:rFonts w:hint="eastAsia"/>
          <w:b w:val="0"/>
          <w:bCs w:val="0"/>
          <w:color w:val="auto"/>
          <w:sz w:val="24"/>
          <w:highlight w:val="none"/>
        </w:rPr>
        <w:t>四、财政拨款收入支出决算总体情况说明</w:t>
      </w:r>
    </w:p>
    <w:p>
      <w:pPr>
        <w:pStyle w:val="15"/>
        <w:adjustRightInd w:val="0"/>
        <w:snapToGrid w:val="0"/>
        <w:spacing w:line="440" w:lineRule="exact"/>
        <w:jc w:val="left"/>
        <w:rPr>
          <w:rFonts w:ascii="仿宋" w:hAnsi="仿宋" w:eastAsia="仿宋" w:cstheme="minorBidi"/>
          <w:b w:val="0"/>
          <w:bCs w:val="0"/>
          <w:color w:val="auto"/>
          <w:sz w:val="24"/>
          <w:highlight w:val="none"/>
        </w:rPr>
      </w:pPr>
      <w:r>
        <w:rPr>
          <w:rFonts w:hint="eastAsia"/>
          <w:b w:val="0"/>
          <w:bCs w:val="0"/>
          <w:color w:val="auto"/>
          <w:sz w:val="24"/>
          <w:highlight w:val="none"/>
        </w:rPr>
        <w:t>五、一般公共预算财政拨款支出决算情况说明</w:t>
      </w:r>
    </w:p>
    <w:p>
      <w:pPr>
        <w:pStyle w:val="15"/>
        <w:adjustRightInd w:val="0"/>
        <w:snapToGrid w:val="0"/>
        <w:spacing w:line="440" w:lineRule="exact"/>
        <w:jc w:val="left"/>
        <w:rPr>
          <w:rFonts w:ascii="仿宋" w:hAnsi="仿宋" w:eastAsia="仿宋" w:cstheme="minorBidi"/>
          <w:b w:val="0"/>
          <w:bCs w:val="0"/>
          <w:color w:val="auto"/>
          <w:sz w:val="24"/>
          <w:highlight w:val="none"/>
        </w:rPr>
      </w:pPr>
      <w:r>
        <w:rPr>
          <w:rFonts w:hint="eastAsia"/>
          <w:b w:val="0"/>
          <w:bCs w:val="0"/>
          <w:color w:val="auto"/>
          <w:sz w:val="24"/>
          <w:highlight w:val="none"/>
        </w:rPr>
        <w:t>六、一般公共预算财政拨款基本支出决算情况说明</w:t>
      </w:r>
    </w:p>
    <w:p>
      <w:pPr>
        <w:pStyle w:val="15"/>
        <w:adjustRightInd w:val="0"/>
        <w:snapToGrid w:val="0"/>
        <w:spacing w:line="440" w:lineRule="exact"/>
        <w:jc w:val="left"/>
        <w:rPr>
          <w:rFonts w:ascii="仿宋" w:hAnsi="仿宋" w:eastAsia="仿宋" w:cstheme="minorBidi"/>
          <w:b w:val="0"/>
          <w:bCs w:val="0"/>
          <w:color w:val="auto"/>
          <w:sz w:val="24"/>
          <w:highlight w:val="none"/>
        </w:rPr>
      </w:pPr>
      <w:r>
        <w:rPr>
          <w:rFonts w:hint="eastAsia"/>
          <w:b w:val="0"/>
          <w:bCs w:val="0"/>
          <w:color w:val="auto"/>
          <w:sz w:val="24"/>
          <w:highlight w:val="none"/>
        </w:rPr>
        <w:t>七、财政拨款</w:t>
      </w:r>
      <w:r>
        <w:rPr>
          <w:rFonts w:hint="eastAsia"/>
          <w:b w:val="0"/>
          <w:bCs w:val="0"/>
          <w:color w:val="auto"/>
          <w:sz w:val="24"/>
          <w:highlight w:val="none"/>
          <w:lang w:eastAsia="zh-CN"/>
        </w:rPr>
        <w:t>“</w:t>
      </w:r>
      <w:r>
        <w:rPr>
          <w:rFonts w:hint="eastAsia"/>
          <w:b w:val="0"/>
          <w:bCs w:val="0"/>
          <w:color w:val="auto"/>
          <w:sz w:val="24"/>
          <w:highlight w:val="none"/>
        </w:rPr>
        <w:t>三公”经费支出决算情况说明</w:t>
      </w:r>
    </w:p>
    <w:p>
      <w:pPr>
        <w:pStyle w:val="15"/>
        <w:adjustRightInd w:val="0"/>
        <w:snapToGrid w:val="0"/>
        <w:spacing w:line="440" w:lineRule="exact"/>
        <w:jc w:val="left"/>
        <w:rPr>
          <w:rFonts w:ascii="仿宋" w:hAnsi="仿宋" w:eastAsia="仿宋" w:cstheme="minorBidi"/>
          <w:b w:val="0"/>
          <w:bCs w:val="0"/>
          <w:color w:val="auto"/>
          <w:sz w:val="24"/>
          <w:highlight w:val="none"/>
        </w:rPr>
      </w:pPr>
      <w:r>
        <w:rPr>
          <w:rFonts w:hint="eastAsia"/>
          <w:b w:val="0"/>
          <w:bCs w:val="0"/>
          <w:color w:val="auto"/>
          <w:sz w:val="24"/>
          <w:highlight w:val="none"/>
        </w:rPr>
        <w:t>八、政府性基金预算支出决算情况说明</w:t>
      </w:r>
    </w:p>
    <w:p>
      <w:pPr>
        <w:pStyle w:val="15"/>
        <w:adjustRightInd w:val="0"/>
        <w:snapToGrid w:val="0"/>
        <w:spacing w:line="440" w:lineRule="exact"/>
        <w:ind w:leftChars="0"/>
        <w:jc w:val="left"/>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九、</w:t>
      </w:r>
      <w:r>
        <w:rPr>
          <w:rFonts w:hint="eastAsia" w:asciiTheme="minorEastAsia" w:hAnsiTheme="minorEastAsia" w:eastAsiaTheme="minorEastAsia" w:cstheme="minorEastAsia"/>
          <w:b w:val="0"/>
          <w:bCs w:val="0"/>
          <w:color w:val="auto"/>
          <w:sz w:val="24"/>
          <w:highlight w:val="none"/>
          <w:lang w:eastAsia="zh-CN"/>
        </w:rPr>
        <w:t>国</w:t>
      </w:r>
      <w:r>
        <w:rPr>
          <w:rFonts w:hint="eastAsia" w:asciiTheme="minorEastAsia" w:hAnsiTheme="minorEastAsia" w:eastAsiaTheme="minorEastAsia" w:cstheme="minorEastAsia"/>
          <w:b w:val="0"/>
          <w:bCs w:val="0"/>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b w:val="0"/>
          <w:bCs w:val="0"/>
          <w:color w:val="auto"/>
          <w:sz w:val="24"/>
          <w:highlight w:val="none"/>
        </w:rPr>
      </w:pPr>
      <w:r>
        <w:rPr>
          <w:rStyle w:val="19"/>
          <w:rFonts w:hint="eastAsia" w:asciiTheme="minorEastAsia" w:hAnsiTheme="minorEastAsia" w:eastAsiaTheme="minorEastAsia" w:cstheme="minorEastAsia"/>
          <w:b w:val="0"/>
          <w:bCs w:val="0"/>
          <w:color w:val="auto"/>
          <w:sz w:val="24"/>
          <w:highlight w:val="none"/>
          <w:u w:val="none"/>
          <w:lang w:eastAsia="zh-CN"/>
        </w:rPr>
        <w:t>十</w:t>
      </w:r>
      <w:r>
        <w:rPr>
          <w:rStyle w:val="19"/>
          <w:rFonts w:hint="eastAsia" w:asciiTheme="minorEastAsia" w:hAnsiTheme="minorEastAsia" w:eastAsiaTheme="minorEastAsia" w:cstheme="minorEastAsia"/>
          <w:b w:val="0"/>
          <w:bCs w:val="0"/>
          <w:color w:val="auto"/>
          <w:sz w:val="24"/>
          <w:highlight w:val="none"/>
          <w:u w:val="none"/>
        </w:rPr>
        <w:t>、</w:t>
      </w:r>
      <w:r>
        <w:rPr>
          <w:rFonts w:hint="eastAsia" w:asciiTheme="minorEastAsia" w:hAnsiTheme="minorEastAsia" w:eastAsiaTheme="minorEastAsia" w:cstheme="minorEastAsia"/>
          <w:b w:val="0"/>
          <w:bCs w:val="0"/>
          <w:color w:val="auto"/>
          <w:sz w:val="24"/>
          <w:highlight w:val="none"/>
        </w:rPr>
        <w:t>其他重要事项的情况说明</w:t>
      </w:r>
      <w:r>
        <w:rPr>
          <w:rFonts w:hint="eastAsia" w:asciiTheme="minorEastAsia" w:hAnsiTheme="minorEastAsia" w:eastAsiaTheme="minorEastAsia" w:cstheme="minorEastAsia"/>
          <w:b w:val="0"/>
          <w:bCs w:val="0"/>
          <w:color w:val="auto"/>
          <w:sz w:val="24"/>
          <w:highlight w:val="none"/>
        </w:rPr>
        <w:tab/>
      </w:r>
    </w:p>
    <w:p>
      <w:pPr>
        <w:pStyle w:val="14"/>
        <w:adjustRightInd w:val="0"/>
        <w:snapToGrid w:val="0"/>
        <w:spacing w:before="0" w:line="440" w:lineRule="exact"/>
        <w:jc w:val="left"/>
        <w:rPr>
          <w:rFonts w:cstheme="minorBidi"/>
          <w:b w:val="0"/>
          <w:bCs w:val="0"/>
          <w:color w:val="auto"/>
          <w:sz w:val="24"/>
          <w:szCs w:val="24"/>
          <w:highlight w:val="none"/>
        </w:rPr>
      </w:pPr>
      <w:r>
        <w:rPr>
          <w:rFonts w:hint="eastAsia"/>
          <w:b w:val="0"/>
          <w:bCs w:val="0"/>
          <w:color w:val="auto"/>
          <w:sz w:val="24"/>
          <w:highlight w:val="none"/>
        </w:rPr>
        <w:t>第三部分</w:t>
      </w:r>
      <w:r>
        <w:rPr>
          <w:b w:val="0"/>
          <w:bCs w:val="0"/>
          <w:color w:val="auto"/>
          <w:sz w:val="24"/>
          <w:highlight w:val="none"/>
        </w:rPr>
        <w:t xml:space="preserve"> </w:t>
      </w:r>
      <w:r>
        <w:rPr>
          <w:rFonts w:hint="eastAsia"/>
          <w:b w:val="0"/>
          <w:bCs w:val="0"/>
          <w:color w:val="auto"/>
          <w:sz w:val="24"/>
          <w:highlight w:val="none"/>
        </w:rPr>
        <w:t>名词解释</w:t>
      </w:r>
    </w:p>
    <w:p>
      <w:pPr>
        <w:pStyle w:val="14"/>
        <w:adjustRightInd w:val="0"/>
        <w:snapToGrid w:val="0"/>
        <w:spacing w:before="0" w:line="440" w:lineRule="exact"/>
        <w:jc w:val="left"/>
        <w:rPr>
          <w:rFonts w:cstheme="minorBidi"/>
          <w:b w:val="0"/>
          <w:bCs w:val="0"/>
          <w:color w:val="auto"/>
          <w:sz w:val="24"/>
          <w:szCs w:val="24"/>
          <w:highlight w:val="none"/>
        </w:rPr>
      </w:pPr>
      <w:r>
        <w:rPr>
          <w:rFonts w:hint="eastAsia"/>
          <w:b w:val="0"/>
          <w:bCs w:val="0"/>
          <w:color w:val="auto"/>
          <w:sz w:val="24"/>
          <w:highlight w:val="none"/>
        </w:rPr>
        <w:t>第四部分</w:t>
      </w:r>
      <w:r>
        <w:rPr>
          <w:b w:val="0"/>
          <w:bCs w:val="0"/>
          <w:color w:val="auto"/>
          <w:sz w:val="24"/>
          <w:highlight w:val="none"/>
        </w:rPr>
        <w:t xml:space="preserve"> </w:t>
      </w:r>
      <w:r>
        <w:rPr>
          <w:rFonts w:hint="eastAsia"/>
          <w:b w:val="0"/>
          <w:bCs w:val="0"/>
          <w:color w:val="auto"/>
          <w:sz w:val="24"/>
          <w:highlight w:val="none"/>
        </w:rPr>
        <w:t>附件</w:t>
      </w:r>
    </w:p>
    <w:p>
      <w:pPr>
        <w:pStyle w:val="14"/>
        <w:adjustRightInd w:val="0"/>
        <w:snapToGrid w:val="0"/>
        <w:spacing w:before="0" w:line="440" w:lineRule="exact"/>
        <w:jc w:val="left"/>
        <w:rPr>
          <w:rFonts w:cstheme="minorBidi"/>
          <w:b w:val="0"/>
          <w:bCs w:val="0"/>
          <w:color w:val="auto"/>
          <w:sz w:val="24"/>
          <w:szCs w:val="24"/>
          <w:highlight w:val="none"/>
        </w:rPr>
      </w:pPr>
      <w:r>
        <w:rPr>
          <w:rFonts w:hint="eastAsia"/>
          <w:b w:val="0"/>
          <w:bCs w:val="0"/>
          <w:color w:val="auto"/>
          <w:sz w:val="24"/>
          <w:highlight w:val="none"/>
        </w:rPr>
        <w:t>第五部分</w:t>
      </w:r>
      <w:r>
        <w:rPr>
          <w:b w:val="0"/>
          <w:bCs w:val="0"/>
          <w:color w:val="auto"/>
          <w:sz w:val="24"/>
          <w:highlight w:val="none"/>
        </w:rPr>
        <w:t xml:space="preserve"> </w:t>
      </w:r>
      <w:r>
        <w:rPr>
          <w:rFonts w:hint="eastAsia"/>
          <w:b w:val="0"/>
          <w:bCs w:val="0"/>
          <w:color w:val="auto"/>
          <w:sz w:val="24"/>
          <w:highlight w:val="none"/>
        </w:rPr>
        <w:t>附表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一、收入支出决算总表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二、收入决算表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三、支出决算表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四、财政拨款收入支出决算总表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五、财政拨款支出决算明细表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六、一般公共预算财政拨款支出决算表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七、一般公共预算财政拨款支出决算明细表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八、一般公共预算财政拨款基本支出决算</w:t>
      </w:r>
      <w:r>
        <w:rPr>
          <w:rFonts w:hint="eastAsia"/>
          <w:b w:val="0"/>
          <w:bCs w:val="0"/>
          <w:color w:val="auto"/>
          <w:sz w:val="24"/>
          <w:highlight w:val="none"/>
          <w:lang w:eastAsia="zh-CN"/>
        </w:rPr>
        <w:t>明细</w:t>
      </w:r>
      <w:r>
        <w:rPr>
          <w:rFonts w:hint="eastAsia"/>
          <w:b w:val="0"/>
          <w:bCs w:val="0"/>
          <w:color w:val="auto"/>
          <w:sz w:val="24"/>
          <w:highlight w:val="none"/>
        </w:rPr>
        <w:t>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九、一般公共预算财政拨款项目支出决算表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十、政府性基金预算财政拨款收入支出决算表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十一、国有资本经营预算财政拨款收入支出决算表</w:t>
      </w:r>
    </w:p>
    <w:p>
      <w:pPr>
        <w:pStyle w:val="15"/>
        <w:adjustRightInd w:val="0"/>
        <w:snapToGrid w:val="0"/>
        <w:spacing w:line="440" w:lineRule="exact"/>
        <w:jc w:val="left"/>
        <w:rPr>
          <w:rFonts w:hint="eastAsia"/>
          <w:b w:val="0"/>
          <w:bCs w:val="0"/>
          <w:color w:val="auto"/>
          <w:sz w:val="24"/>
          <w:highlight w:val="none"/>
        </w:rPr>
      </w:pPr>
      <w:r>
        <w:rPr>
          <w:rFonts w:hint="eastAsia"/>
          <w:b w:val="0"/>
          <w:bCs w:val="0"/>
          <w:color w:val="auto"/>
          <w:sz w:val="24"/>
          <w:highlight w:val="none"/>
        </w:rPr>
        <w:t>十二、</w:t>
      </w:r>
      <w:r>
        <w:rPr>
          <w:rFonts w:hint="eastAsia"/>
          <w:b w:val="0"/>
          <w:bCs w:val="0"/>
          <w:color w:val="auto"/>
          <w:sz w:val="24"/>
          <w:highlight w:val="none"/>
          <w:lang w:val="en-US" w:eastAsia="zh-CN"/>
        </w:rPr>
        <w:t>国有资本经营预算财政拨款支出决算表</w:t>
      </w:r>
    </w:p>
    <w:p>
      <w:pPr>
        <w:pStyle w:val="15"/>
        <w:adjustRightInd w:val="0"/>
        <w:snapToGrid w:val="0"/>
        <w:spacing w:line="440" w:lineRule="exact"/>
        <w:jc w:val="left"/>
        <w:rPr>
          <w:rFonts w:hint="eastAsia" w:asciiTheme="minorEastAsia" w:hAnsiTheme="minorEastAsia" w:eastAsiaTheme="minorEastAsia" w:cstheme="minorEastAsia"/>
          <w:b w:val="0"/>
          <w:bCs w:val="0"/>
          <w:color w:val="auto"/>
          <w:sz w:val="24"/>
          <w:highlight w:val="none"/>
          <w:lang w:val="en-US" w:eastAsia="zh-CN"/>
        </w:rPr>
      </w:pPr>
      <w:r>
        <w:rPr>
          <w:rFonts w:hint="eastAsia"/>
          <w:b w:val="0"/>
          <w:bCs w:val="0"/>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b w:val="0"/>
          <w:bCs w:val="0"/>
          <w:color w:val="auto"/>
          <w:sz w:val="24"/>
          <w:highlight w:val="none"/>
        </w:rPr>
      </w:pPr>
      <w:r>
        <w:rPr>
          <w:rFonts w:ascii="仿宋" w:hAnsi="仿宋" w:eastAsia="仿宋"/>
          <w:b w:val="0"/>
          <w:bCs w:val="0"/>
          <w:color w:val="auto"/>
          <w:sz w:val="24"/>
          <w:highlight w:val="none"/>
        </w:rPr>
        <w:t>(注：</w:t>
      </w:r>
      <w:r>
        <w:rPr>
          <w:rFonts w:hint="eastAsia" w:ascii="仿宋" w:hAnsi="仿宋" w:eastAsia="仿宋"/>
          <w:b w:val="0"/>
          <w:bCs w:val="0"/>
          <w:color w:val="auto"/>
          <w:sz w:val="24"/>
          <w:highlight w:val="none"/>
        </w:rPr>
        <w:t>请部门根据实际注明页码</w:t>
      </w:r>
      <w:r>
        <w:rPr>
          <w:rFonts w:ascii="仿宋" w:hAnsi="仿宋" w:eastAsia="仿宋"/>
          <w:b w:val="0"/>
          <w:bCs w:val="0"/>
          <w:color w:val="auto"/>
          <w:sz w:val="24"/>
          <w:highlight w:val="none"/>
        </w:rPr>
        <w:t>)</w:t>
      </w:r>
    </w:p>
    <w:p>
      <w:pPr>
        <w:widowControl/>
        <w:spacing w:line="440" w:lineRule="exact"/>
        <w:jc w:val="left"/>
        <w:rPr>
          <w:rFonts w:ascii="仿宋" w:hAnsi="仿宋" w:eastAsia="仿宋"/>
          <w:b w:val="0"/>
          <w:bCs w:val="0"/>
          <w:color w:val="auto"/>
          <w:kern w:val="44"/>
          <w:sz w:val="24"/>
          <w:highlight w:val="none"/>
        </w:rPr>
      </w:pPr>
      <w:bookmarkStart w:id="12" w:name="_Toc15377196"/>
      <w:bookmarkStart w:id="13" w:name="_Toc15396599"/>
      <w:r>
        <w:rPr>
          <w:rFonts w:ascii="仿宋" w:hAnsi="仿宋" w:eastAsia="仿宋"/>
          <w:b w:val="0"/>
          <w:bCs w:val="0"/>
          <w:color w:val="auto"/>
          <w:sz w:val="24"/>
          <w:highlight w:val="none"/>
        </w:rPr>
        <w:br w:type="page"/>
      </w:r>
    </w:p>
    <w:p>
      <w:pPr>
        <w:pStyle w:val="3"/>
        <w:pageBreakBefore w:val="0"/>
        <w:kinsoku/>
        <w:wordWrap/>
        <w:overflowPunct/>
        <w:topLinePunct w:val="0"/>
        <w:autoSpaceDE/>
        <w:autoSpaceDN/>
        <w:bidi w:val="0"/>
        <w:spacing w:line="578" w:lineRule="exact"/>
        <w:jc w:val="center"/>
        <w:textAlignment w:val="auto"/>
        <w:rPr>
          <w:rStyle w:val="30"/>
          <w:rFonts w:ascii="黑体" w:hAnsi="黑体" w:eastAsia="黑体"/>
          <w:b w:val="0"/>
          <w:bCs w:val="0"/>
          <w:color w:val="auto"/>
          <w:highlight w:val="none"/>
        </w:rPr>
      </w:pPr>
      <w:r>
        <w:rPr>
          <w:rFonts w:hint="eastAsia" w:ascii="黑体" w:hAnsi="黑体" w:eastAsia="黑体"/>
          <w:b w:val="0"/>
          <w:bCs w:val="0"/>
          <w:color w:val="auto"/>
          <w:highlight w:val="none"/>
        </w:rPr>
        <w:t xml:space="preserve">第一部分 </w:t>
      </w:r>
      <w:r>
        <w:rPr>
          <w:rStyle w:val="30"/>
          <w:rFonts w:hint="eastAsia" w:ascii="黑体" w:hAnsi="黑体" w:eastAsia="黑体"/>
          <w:b w:val="0"/>
          <w:bCs w:val="0"/>
          <w:color w:val="auto"/>
          <w:highlight w:val="none"/>
        </w:rPr>
        <w:t>部门概况</w:t>
      </w:r>
      <w:bookmarkEnd w:id="12"/>
      <w:bookmarkEnd w:id="13"/>
    </w:p>
    <w:p>
      <w:pPr>
        <w:pStyle w:val="4"/>
        <w:pageBreakBefore w:val="0"/>
        <w:kinsoku/>
        <w:wordWrap/>
        <w:overflowPunct/>
        <w:topLinePunct w:val="0"/>
        <w:autoSpaceDE/>
        <w:autoSpaceDN/>
        <w:bidi w:val="0"/>
        <w:spacing w:line="578" w:lineRule="exact"/>
        <w:ind w:firstLine="640" w:firstLineChars="200"/>
        <w:textAlignment w:val="auto"/>
        <w:rPr>
          <w:rFonts w:hint="eastAsia" w:ascii="黑体" w:eastAsia="黑体"/>
          <w:b w:val="0"/>
          <w:bCs w:val="0"/>
          <w:color w:val="auto"/>
          <w:highlight w:val="none"/>
          <w:lang w:eastAsia="zh-CN"/>
        </w:rPr>
      </w:pPr>
      <w:r>
        <w:rPr>
          <w:rFonts w:hint="eastAsia" w:ascii="黑体" w:eastAsia="黑体"/>
          <w:b w:val="0"/>
          <w:bCs w:val="0"/>
          <w:color w:val="auto"/>
          <w:highlight w:val="none"/>
          <w:lang w:eastAsia="zh-CN"/>
        </w:rPr>
        <w:t>一、部门职责</w:t>
      </w:r>
    </w:p>
    <w:p>
      <w:pPr>
        <w:pStyle w:val="16"/>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 w:hAnsi="仿宋" w:eastAsia="仿宋"/>
          <w:b w:val="0"/>
          <w:bCs w:val="0"/>
          <w:color w:val="auto"/>
          <w:sz w:val="32"/>
          <w:szCs w:val="32"/>
        </w:rPr>
      </w:pPr>
      <w:r>
        <w:rPr>
          <w:rFonts w:hint="eastAsia" w:ascii="仿宋_GB2312" w:hAnsi="仿宋_GB2312" w:eastAsia="仿宋_GB2312" w:cs="仿宋_GB2312"/>
          <w:b w:val="0"/>
          <w:bCs w:val="0"/>
          <w:color w:val="auto"/>
          <w:kern w:val="2"/>
          <w:sz w:val="32"/>
          <w:szCs w:val="32"/>
        </w:rPr>
        <w:t>泸县工商业联合会是在县委、县政府领导下具有统战性、经济性、民间性的群众团体和民间商会，参与政治协商，发挥民主监督的作用；负责工商界代表人士政治安排的推荐工作；引导会员积极参加国家经济建设；做好非公有制经济代表人士的思想政治工作，团结、帮助、引导、教育会员遵守国家的法律、法规和政策，提高会员素质，培养积极分子队伍；代表并维护会员的合法权益，反映会员的意见、要求和建议；为会员提供信息和科技、管理、法律、会计、审计、融资、咨询等服务。</w:t>
      </w:r>
    </w:p>
    <w:p>
      <w:pPr>
        <w:pStyle w:val="4"/>
        <w:pageBreakBefore w:val="0"/>
        <w:kinsoku/>
        <w:wordWrap/>
        <w:overflowPunct/>
        <w:topLinePunct w:val="0"/>
        <w:autoSpaceDE/>
        <w:autoSpaceDN/>
        <w:bidi w:val="0"/>
        <w:spacing w:line="578" w:lineRule="exact"/>
        <w:ind w:firstLine="960" w:firstLineChars="300"/>
        <w:textAlignment w:val="auto"/>
        <w:rPr>
          <w:rStyle w:val="31"/>
          <w:b w:val="0"/>
          <w:bCs w:val="0"/>
          <w:color w:val="auto"/>
          <w:highlight w:val="none"/>
        </w:rPr>
      </w:pPr>
      <w:bookmarkStart w:id="14" w:name="_Toc15396601"/>
      <w:bookmarkStart w:id="15" w:name="_Toc15377200"/>
      <w:r>
        <w:rPr>
          <w:rFonts w:hint="eastAsia" w:ascii="黑体" w:eastAsia="黑体"/>
          <w:b w:val="0"/>
          <w:bCs w:val="0"/>
          <w:color w:val="auto"/>
          <w:highlight w:val="none"/>
        </w:rPr>
        <w:t>二、</w:t>
      </w:r>
      <w:r>
        <w:rPr>
          <w:rFonts w:hint="eastAsia" w:ascii="黑体" w:hAnsi="黑体" w:eastAsia="黑体"/>
          <w:b w:val="0"/>
          <w:bCs w:val="0"/>
          <w:color w:val="auto"/>
          <w:highlight w:val="none"/>
        </w:rPr>
        <w:t>机</w:t>
      </w:r>
      <w:r>
        <w:rPr>
          <w:rStyle w:val="31"/>
          <w:rFonts w:hint="eastAsia" w:ascii="黑体" w:hAnsi="黑体" w:eastAsia="黑体"/>
          <w:b w:val="0"/>
          <w:bCs w:val="0"/>
          <w:color w:val="auto"/>
          <w:highlight w:val="none"/>
        </w:rPr>
        <w:t>构设置</w:t>
      </w:r>
      <w:bookmarkEnd w:id="14"/>
      <w:bookmarkEnd w:id="15"/>
    </w:p>
    <w:p>
      <w:pPr>
        <w:pageBreakBefore w:val="0"/>
        <w:kinsoku/>
        <w:wordWrap/>
        <w:overflowPunct/>
        <w:topLinePunct w:val="0"/>
        <w:autoSpaceDE/>
        <w:autoSpaceDN/>
        <w:bidi w:val="0"/>
        <w:spacing w:line="578" w:lineRule="exact"/>
        <w:ind w:firstLine="800" w:firstLineChars="250"/>
        <w:textAlignment w:val="auto"/>
        <w:rPr>
          <w:rFonts w:ascii="Times New Roman" w:hAnsi="Times New Roman" w:eastAsia="方正仿宋简体"/>
          <w:b w:val="0"/>
          <w:bCs w:val="0"/>
          <w:color w:val="auto"/>
          <w:kern w:val="0"/>
          <w:sz w:val="32"/>
          <w:szCs w:val="32"/>
        </w:rPr>
      </w:pPr>
      <w:r>
        <w:rPr>
          <w:rFonts w:ascii="Times New Roman" w:hAnsi="Times New Roman" w:eastAsia="方正仿宋简体"/>
          <w:b w:val="0"/>
          <w:bCs w:val="0"/>
          <w:color w:val="auto"/>
          <w:kern w:val="0"/>
          <w:sz w:val="32"/>
          <w:szCs w:val="32"/>
        </w:rPr>
        <w:t>泸县工商业联合会核定总编制4名，均为行政编制。在职行政人员总数4人；退休人员3人。内设办公室和会员部两个机构。</w:t>
      </w:r>
    </w:p>
    <w:p>
      <w:pPr>
        <w:pStyle w:val="3"/>
        <w:ind w:right="440"/>
        <w:jc w:val="center"/>
        <w:rPr>
          <w:rStyle w:val="30"/>
          <w:rFonts w:ascii="黑体" w:hAnsi="黑体" w:eastAsia="黑体"/>
          <w:b w:val="0"/>
          <w:bCs w:val="0"/>
          <w:color w:val="auto"/>
          <w:highlight w:val="none"/>
        </w:rPr>
      </w:pPr>
      <w:bookmarkStart w:id="16" w:name="_Toc15396602"/>
      <w:bookmarkStart w:id="17" w:name="_Toc15377204"/>
      <w:r>
        <w:rPr>
          <w:rFonts w:hint="eastAsia" w:ascii="黑体" w:hAnsi="黑体" w:eastAsia="黑体"/>
          <w:b w:val="0"/>
          <w:bCs w:val="0"/>
          <w:color w:val="auto"/>
          <w:highlight w:val="none"/>
        </w:rPr>
        <w:t xml:space="preserve">第二部分 </w:t>
      </w:r>
      <w:r>
        <w:rPr>
          <w:rFonts w:hint="eastAsia" w:ascii="黑体" w:hAnsi="黑体" w:eastAsia="黑体"/>
          <w:b w:val="0"/>
          <w:bCs w:val="0"/>
          <w:color w:val="auto"/>
          <w:highlight w:val="none"/>
          <w:lang w:val="en-US" w:eastAsia="zh-CN"/>
        </w:rPr>
        <w:t>2022年度</w:t>
      </w:r>
      <w:r>
        <w:rPr>
          <w:rStyle w:val="30"/>
          <w:rFonts w:hint="eastAsia" w:ascii="黑体" w:hAnsi="黑体" w:eastAsia="黑体"/>
          <w:b w:val="0"/>
          <w:bCs w:val="0"/>
          <w:color w:val="auto"/>
          <w:highlight w:val="none"/>
        </w:rPr>
        <w:t>部门决算情况说明</w:t>
      </w:r>
      <w:bookmarkEnd w:id="16"/>
      <w:bookmarkEnd w:id="17"/>
    </w:p>
    <w:p>
      <w:pPr>
        <w:pStyle w:val="29"/>
        <w:numPr>
          <w:ilvl w:val="0"/>
          <w:numId w:val="1"/>
        </w:numPr>
        <w:spacing w:line="600" w:lineRule="exact"/>
        <w:ind w:firstLineChars="0"/>
        <w:outlineLvl w:val="1"/>
        <w:rPr>
          <w:rStyle w:val="31"/>
          <w:rFonts w:ascii="黑体" w:hAnsi="黑体" w:eastAsia="黑体"/>
          <w:b w:val="0"/>
          <w:bCs w:val="0"/>
          <w:color w:val="auto"/>
          <w:highlight w:val="none"/>
        </w:rPr>
      </w:pPr>
      <w:bookmarkStart w:id="18" w:name="_Toc15377205"/>
      <w:bookmarkStart w:id="19" w:name="_Toc15396603"/>
      <w:r>
        <w:rPr>
          <w:rFonts w:hint="eastAsia" w:ascii="黑体" w:hAnsi="黑体" w:eastAsia="黑体"/>
          <w:b w:val="0"/>
          <w:bCs w:val="0"/>
          <w:color w:val="auto"/>
          <w:sz w:val="32"/>
          <w:szCs w:val="32"/>
          <w:highlight w:val="none"/>
        </w:rPr>
        <w:t>收</w:t>
      </w:r>
      <w:r>
        <w:rPr>
          <w:rStyle w:val="31"/>
          <w:rFonts w:hint="eastAsia" w:ascii="黑体" w:hAnsi="黑体" w:eastAsia="黑体"/>
          <w:b w:val="0"/>
          <w:bCs w:val="0"/>
          <w:color w:val="auto"/>
          <w:highlight w:val="none"/>
        </w:rPr>
        <w:t>入支出决算总体情况说明</w:t>
      </w:r>
      <w:bookmarkEnd w:id="18"/>
      <w:bookmarkEnd w:id="19"/>
    </w:p>
    <w:p>
      <w:pPr>
        <w:spacing w:line="600" w:lineRule="exact"/>
        <w:ind w:firstLine="640" w:firstLineChars="200"/>
        <w:rPr>
          <w:rFonts w:hint="eastAsia" w:ascii="仿宋" w:hAnsi="仿宋" w:eastAsia="仿宋"/>
          <w:b w:val="0"/>
          <w:bCs w:val="0"/>
          <w:color w:val="auto"/>
          <w:sz w:val="32"/>
          <w:szCs w:val="32"/>
          <w:highlight w:val="none"/>
          <w:lang w:eastAsia="zh-CN"/>
        </w:rPr>
      </w:pPr>
      <w:bookmarkStart w:id="20" w:name="_Toc15396604"/>
      <w:bookmarkStart w:id="21" w:name="_Toc15377206"/>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年度收</w:t>
      </w:r>
      <w:r>
        <w:rPr>
          <w:rFonts w:hint="eastAsia" w:ascii="仿宋" w:hAnsi="仿宋" w:eastAsia="仿宋"/>
          <w:b w:val="0"/>
          <w:bCs w:val="0"/>
          <w:color w:val="auto"/>
          <w:sz w:val="32"/>
          <w:szCs w:val="32"/>
          <w:highlight w:val="none"/>
          <w:lang w:val="en-US" w:eastAsia="zh-CN"/>
        </w:rPr>
        <w:t>入</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135.02</w:t>
      </w:r>
      <w:r>
        <w:rPr>
          <w:rFonts w:hint="eastAsia" w:ascii="仿宋" w:hAnsi="仿宋" w:eastAsia="仿宋"/>
          <w:b w:val="0"/>
          <w:bCs w:val="0"/>
          <w:color w:val="auto"/>
          <w:sz w:val="32"/>
          <w:szCs w:val="32"/>
          <w:highlight w:val="none"/>
        </w:rPr>
        <w:t>万元。与20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年相比，收</w:t>
      </w:r>
      <w:r>
        <w:rPr>
          <w:rFonts w:hint="eastAsia" w:ascii="仿宋" w:hAnsi="仿宋" w:eastAsia="仿宋"/>
          <w:b w:val="0"/>
          <w:bCs w:val="0"/>
          <w:color w:val="auto"/>
          <w:sz w:val="32"/>
          <w:szCs w:val="32"/>
          <w:highlight w:val="none"/>
          <w:lang w:val="en-US" w:eastAsia="zh-CN"/>
        </w:rPr>
        <w:t>入</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103.27万元，</w:t>
      </w:r>
      <w:r>
        <w:rPr>
          <w:rFonts w:hint="eastAsia" w:ascii="仿宋" w:hAnsi="仿宋" w:eastAsia="仿宋"/>
          <w:b w:val="0"/>
          <w:bCs w:val="0"/>
          <w:color w:val="auto"/>
          <w:sz w:val="32"/>
          <w:szCs w:val="32"/>
          <w:highlight w:val="none"/>
        </w:rPr>
        <w:t>增加</w:t>
      </w:r>
      <w:r>
        <w:rPr>
          <w:rFonts w:hint="eastAsia" w:eastAsia="方正仿宋简体" w:cs="Times New Roman"/>
          <w:b w:val="0"/>
          <w:bCs w:val="0"/>
          <w:color w:val="auto"/>
          <w:kern w:val="0"/>
          <w:sz w:val="32"/>
          <w:szCs w:val="32"/>
          <w:lang w:val="en-US" w:eastAsia="zh-CN" w:bidi="ar-SA"/>
        </w:rPr>
        <w:t>31.75</w:t>
      </w:r>
      <w:r>
        <w:rPr>
          <w:rFonts w:hint="eastAsia" w:ascii="仿宋" w:hAnsi="仿宋" w:eastAsia="仿宋"/>
          <w:b w:val="0"/>
          <w:bCs w:val="0"/>
          <w:color w:val="auto"/>
          <w:sz w:val="32"/>
          <w:szCs w:val="32"/>
          <w:highlight w:val="none"/>
        </w:rPr>
        <w:t>万元，增加</w:t>
      </w:r>
      <w:r>
        <w:rPr>
          <w:rFonts w:hint="eastAsia" w:ascii="仿宋" w:hAnsi="仿宋" w:eastAsia="仿宋"/>
          <w:b w:val="0"/>
          <w:bCs w:val="0"/>
          <w:color w:val="auto"/>
          <w:sz w:val="32"/>
          <w:szCs w:val="32"/>
          <w:highlight w:val="none"/>
          <w:lang w:val="en-US" w:eastAsia="zh-CN"/>
        </w:rPr>
        <w:t>30.74</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年度</w:t>
      </w:r>
      <w:r>
        <w:rPr>
          <w:rFonts w:hint="eastAsia" w:ascii="仿宋" w:hAnsi="仿宋" w:eastAsia="仿宋"/>
          <w:b w:val="0"/>
          <w:bCs w:val="0"/>
          <w:color w:val="auto"/>
          <w:sz w:val="32"/>
          <w:szCs w:val="32"/>
          <w:highlight w:val="none"/>
          <w:lang w:val="en-US" w:eastAsia="zh-CN"/>
        </w:rPr>
        <w:t>支出</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138.26</w:t>
      </w:r>
      <w:r>
        <w:rPr>
          <w:rFonts w:hint="eastAsia" w:ascii="仿宋" w:hAnsi="仿宋" w:eastAsia="仿宋"/>
          <w:b w:val="0"/>
          <w:bCs w:val="0"/>
          <w:color w:val="auto"/>
          <w:sz w:val="32"/>
          <w:szCs w:val="32"/>
          <w:highlight w:val="none"/>
        </w:rPr>
        <w:t>万元。与20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w:t>
      </w:r>
      <w:r>
        <w:rPr>
          <w:rFonts w:hint="eastAsia" w:ascii="仿宋" w:hAnsi="仿宋" w:eastAsia="仿宋"/>
          <w:b w:val="0"/>
          <w:bCs w:val="0"/>
          <w:color w:val="auto"/>
          <w:sz w:val="32"/>
          <w:szCs w:val="32"/>
          <w:highlight w:val="none"/>
          <w:lang w:val="en-US" w:eastAsia="zh-CN"/>
        </w:rPr>
        <w:t>支出</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133.51万元，</w:t>
      </w:r>
      <w:r>
        <w:rPr>
          <w:rFonts w:hint="eastAsia" w:ascii="仿宋" w:hAnsi="仿宋" w:eastAsia="仿宋"/>
          <w:b w:val="0"/>
          <w:bCs w:val="0"/>
          <w:color w:val="auto"/>
          <w:sz w:val="32"/>
          <w:szCs w:val="32"/>
          <w:highlight w:val="none"/>
        </w:rPr>
        <w:t>增加</w:t>
      </w:r>
      <w:r>
        <w:rPr>
          <w:rFonts w:hint="eastAsia" w:ascii="仿宋" w:hAnsi="仿宋" w:eastAsia="仿宋"/>
          <w:b w:val="0"/>
          <w:bCs w:val="0"/>
          <w:color w:val="auto"/>
          <w:sz w:val="32"/>
          <w:szCs w:val="32"/>
          <w:highlight w:val="none"/>
          <w:lang w:val="en-US" w:eastAsia="zh-CN"/>
        </w:rPr>
        <w:t>4.75</w:t>
      </w:r>
      <w:r>
        <w:rPr>
          <w:rFonts w:hint="eastAsia" w:ascii="仿宋" w:hAnsi="仿宋" w:eastAsia="仿宋"/>
          <w:b w:val="0"/>
          <w:bCs w:val="0"/>
          <w:color w:val="auto"/>
          <w:sz w:val="32"/>
          <w:szCs w:val="32"/>
          <w:highlight w:val="none"/>
        </w:rPr>
        <w:t>万元，增加</w:t>
      </w:r>
      <w:r>
        <w:rPr>
          <w:rFonts w:hint="eastAsia" w:ascii="仿宋" w:hAnsi="仿宋" w:eastAsia="仿宋"/>
          <w:b w:val="0"/>
          <w:bCs w:val="0"/>
          <w:color w:val="auto"/>
          <w:sz w:val="32"/>
          <w:szCs w:val="32"/>
          <w:highlight w:val="none"/>
          <w:lang w:val="en-US" w:eastAsia="zh-CN"/>
        </w:rPr>
        <w:t>3.56</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。主要变动原因是</w:t>
      </w:r>
      <w:r>
        <w:rPr>
          <w:rFonts w:hint="eastAsia" w:ascii="仿宋" w:hAnsi="仿宋" w:eastAsia="仿宋"/>
          <w:b w:val="0"/>
          <w:bCs w:val="0"/>
          <w:color w:val="auto"/>
          <w:sz w:val="32"/>
          <w:szCs w:val="32"/>
          <w:highlight w:val="none"/>
          <w:lang w:val="en-US" w:eastAsia="zh-CN"/>
        </w:rPr>
        <w:t>人员经费和项目经费增加</w:t>
      </w:r>
      <w:r>
        <w:rPr>
          <w:rFonts w:hint="eastAsia" w:ascii="仿宋" w:hAnsi="仿宋" w:eastAsia="仿宋"/>
          <w:b w:val="0"/>
          <w:bCs w:val="0"/>
          <w:color w:val="auto"/>
          <w:sz w:val="32"/>
          <w:szCs w:val="32"/>
          <w:highlight w:val="none"/>
          <w:lang w:eastAsia="zh-CN"/>
        </w:rPr>
        <w:t>。</w:t>
      </w:r>
    </w:p>
    <w:p>
      <w:pPr>
        <w:pStyle w:val="12"/>
        <w:rPr>
          <w:rFonts w:hint="default"/>
          <w:b w:val="0"/>
          <w:bCs w:val="0"/>
          <w:color w:val="auto"/>
          <w:lang w:val="en-US" w:eastAsia="zh-CN"/>
        </w:rPr>
      </w:pPr>
    </w:p>
    <w:p>
      <w:pPr>
        <w:jc w:val="center"/>
        <w:rPr>
          <w:rFonts w:ascii="仿宋_GB2312" w:eastAsia="仿宋_GB2312"/>
          <w:b w:val="0"/>
          <w:bCs w:val="0"/>
          <w:color w:val="auto"/>
          <w:sz w:val="28"/>
          <w:szCs w:val="28"/>
          <w:highlight w:val="none"/>
        </w:rPr>
      </w:pPr>
      <w:r>
        <w:rPr>
          <w:rFonts w:hint="eastAsia" w:ascii="仿宋" w:hAnsi="仿宋" w:eastAsia="仿宋"/>
          <w:b w:val="0"/>
          <w:bCs w:val="0"/>
          <w:color w:val="auto"/>
          <w:sz w:val="28"/>
          <w:szCs w:val="28"/>
          <w:highlight w:val="none"/>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119380</wp:posOffset>
            </wp:positionV>
            <wp:extent cx="5080000" cy="3547745"/>
            <wp:effectExtent l="4445" t="4445" r="5715" b="13970"/>
            <wp:wrapTight wrapText="bothSides">
              <wp:wrapPolygon>
                <wp:start x="-19" y="-27"/>
                <wp:lineTo x="-19" y="21499"/>
                <wp:lineTo x="21560" y="21499"/>
                <wp:lineTo x="21560" y="-27"/>
                <wp:lineTo x="-19" y="-2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b w:val="0"/>
          <w:bCs w:val="0"/>
          <w:color w:val="auto"/>
          <w:sz w:val="28"/>
          <w:szCs w:val="28"/>
          <w:highlight w:val="none"/>
        </w:rPr>
        <w:t>（图</w:t>
      </w:r>
      <w:r>
        <w:rPr>
          <w:rFonts w:ascii="仿宋" w:hAnsi="仿宋" w:eastAsia="仿宋"/>
          <w:b w:val="0"/>
          <w:bCs w:val="0"/>
          <w:color w:val="auto"/>
          <w:sz w:val="28"/>
          <w:szCs w:val="28"/>
          <w:highlight w:val="none"/>
        </w:rPr>
        <w:t>1</w:t>
      </w:r>
      <w:r>
        <w:rPr>
          <w:rFonts w:hint="eastAsia" w:ascii="仿宋" w:hAnsi="仿宋" w:eastAsia="仿宋"/>
          <w:b w:val="0"/>
          <w:bCs w:val="0"/>
          <w:color w:val="auto"/>
          <w:sz w:val="28"/>
          <w:szCs w:val="28"/>
          <w:highlight w:val="none"/>
        </w:rPr>
        <w:t>：收、支决算总计变动情况图）（</w:t>
      </w:r>
      <w:r>
        <w:rPr>
          <w:rFonts w:hint="eastAsia" w:ascii="仿宋" w:hAnsi="仿宋" w:eastAsia="仿宋"/>
          <w:b w:val="0"/>
          <w:bCs w:val="0"/>
          <w:color w:val="auto"/>
          <w:sz w:val="28"/>
          <w:szCs w:val="28"/>
          <w:highlight w:val="none"/>
          <w:lang w:val="en-US" w:eastAsia="zh-CN"/>
        </w:rPr>
        <w:t>单位：万元</w:t>
      </w:r>
      <w:r>
        <w:rPr>
          <w:rFonts w:hint="eastAsia" w:ascii="仿宋" w:hAnsi="仿宋" w:eastAsia="仿宋"/>
          <w:b w:val="0"/>
          <w:bCs w:val="0"/>
          <w:color w:val="auto"/>
          <w:sz w:val="28"/>
          <w:szCs w:val="28"/>
          <w:highlight w:val="none"/>
        </w:rPr>
        <w:t>）</w:t>
      </w:r>
    </w:p>
    <w:p>
      <w:pPr>
        <w:pStyle w:val="29"/>
        <w:numPr>
          <w:ilvl w:val="0"/>
          <w:numId w:val="1"/>
        </w:numPr>
        <w:spacing w:line="600" w:lineRule="exact"/>
        <w:ind w:firstLineChars="0"/>
        <w:outlineLvl w:val="1"/>
        <w:rPr>
          <w:rStyle w:val="31"/>
          <w:rFonts w:ascii="黑体" w:hAnsi="黑体" w:eastAsia="黑体"/>
          <w:b w:val="0"/>
          <w:bCs w:val="0"/>
          <w:color w:val="auto"/>
          <w:highlight w:val="none"/>
        </w:rPr>
      </w:pPr>
      <w:r>
        <w:rPr>
          <w:rFonts w:hint="eastAsia" w:ascii="黑体" w:hAnsi="黑体" w:eastAsia="黑体"/>
          <w:b w:val="0"/>
          <w:bCs w:val="0"/>
          <w:color w:val="auto"/>
          <w:sz w:val="32"/>
          <w:szCs w:val="32"/>
          <w:highlight w:val="none"/>
        </w:rPr>
        <w:t>收</w:t>
      </w:r>
      <w:r>
        <w:rPr>
          <w:rStyle w:val="31"/>
          <w:rFonts w:hint="eastAsia" w:ascii="黑体" w:hAnsi="黑体" w:eastAsia="黑体"/>
          <w:b w:val="0"/>
          <w:bCs w:val="0"/>
          <w:color w:val="auto"/>
          <w:highlight w:val="none"/>
        </w:rPr>
        <w:t>入决算情况说明</w:t>
      </w:r>
      <w:bookmarkEnd w:id="20"/>
      <w:bookmarkEnd w:id="21"/>
    </w:p>
    <w:p>
      <w:pPr>
        <w:spacing w:line="600" w:lineRule="exact"/>
        <w:ind w:firstLine="640" w:firstLineChars="200"/>
        <w:outlineLvl w:val="1"/>
        <w:rPr>
          <w:rFonts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年本年收入合计</w:t>
      </w:r>
      <w:r>
        <w:rPr>
          <w:rFonts w:hint="eastAsia" w:ascii="仿宋" w:hAnsi="仿宋" w:eastAsia="仿宋"/>
          <w:b w:val="0"/>
          <w:bCs w:val="0"/>
          <w:color w:val="auto"/>
          <w:sz w:val="32"/>
          <w:szCs w:val="32"/>
          <w:highlight w:val="none"/>
          <w:lang w:val="en-US" w:eastAsia="zh-CN"/>
        </w:rPr>
        <w:t>135.02</w:t>
      </w:r>
      <w:r>
        <w:rPr>
          <w:rFonts w:hint="eastAsia" w:ascii="仿宋" w:hAnsi="仿宋" w:eastAsia="仿宋"/>
          <w:b w:val="0"/>
          <w:bCs w:val="0"/>
          <w:color w:val="auto"/>
          <w:sz w:val="32"/>
          <w:szCs w:val="32"/>
          <w:highlight w:val="none"/>
        </w:rPr>
        <w:t>万元，其中：一般公共预算财政拨款收入</w:t>
      </w:r>
      <w:r>
        <w:rPr>
          <w:rFonts w:hint="eastAsia" w:ascii="仿宋" w:hAnsi="仿宋" w:eastAsia="仿宋"/>
          <w:b w:val="0"/>
          <w:bCs w:val="0"/>
          <w:color w:val="auto"/>
          <w:sz w:val="32"/>
          <w:szCs w:val="32"/>
          <w:highlight w:val="none"/>
          <w:lang w:val="en-US" w:eastAsia="zh-CN"/>
        </w:rPr>
        <w:t>135.02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100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p>
    <w:p>
      <w:pPr>
        <w:spacing w:line="600" w:lineRule="exact"/>
        <w:ind w:firstLine="560" w:firstLineChars="200"/>
        <w:jc w:val="center"/>
        <w:outlineLvl w:val="1"/>
        <w:rPr>
          <w:rFonts w:ascii="仿宋_GB2312" w:eastAsia="仿宋_GB2312"/>
          <w:b w:val="0"/>
          <w:bCs w:val="0"/>
          <w:color w:val="auto"/>
          <w:sz w:val="28"/>
          <w:szCs w:val="28"/>
          <w:highlight w:val="none"/>
        </w:rPr>
      </w:pPr>
      <w:r>
        <w:rPr>
          <w:rFonts w:hint="eastAsia" w:ascii="仿宋" w:hAnsi="仿宋" w:eastAsia="仿宋"/>
          <w:b w:val="0"/>
          <w:bCs w:val="0"/>
          <w:color w:val="auto"/>
          <w:sz w:val="28"/>
          <w:szCs w:val="28"/>
          <w:highlight w:val="none"/>
          <w:lang w:eastAsia="zh-CN"/>
        </w:rPr>
        <w:drawing>
          <wp:anchor distT="0" distB="0" distL="114300" distR="114300" simplePos="0" relativeHeight="251660288" behindDoc="0" locked="0" layoutInCell="1" allowOverlap="1">
            <wp:simplePos x="0" y="0"/>
            <wp:positionH relativeFrom="column">
              <wp:posOffset>241300</wp:posOffset>
            </wp:positionH>
            <wp:positionV relativeFrom="paragraph">
              <wp:posOffset>334645</wp:posOffset>
            </wp:positionV>
            <wp:extent cx="4843780" cy="2591435"/>
            <wp:effectExtent l="4445" t="4445" r="13335"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 w:val="0"/>
          <w:bCs w:val="0"/>
          <w:color w:val="auto"/>
          <w:sz w:val="28"/>
          <w:szCs w:val="28"/>
          <w:highlight w:val="none"/>
        </w:rPr>
        <w:t>（图2：收入决算结构图）（</w:t>
      </w:r>
      <w:r>
        <w:rPr>
          <w:rFonts w:hint="eastAsia" w:ascii="仿宋" w:hAnsi="仿宋" w:eastAsia="仿宋"/>
          <w:b w:val="0"/>
          <w:bCs w:val="0"/>
          <w:color w:val="auto"/>
          <w:sz w:val="28"/>
          <w:szCs w:val="28"/>
          <w:highlight w:val="none"/>
          <w:lang w:val="en-US" w:eastAsia="zh-CN"/>
        </w:rPr>
        <w:t>单位：万元</w:t>
      </w:r>
      <w:r>
        <w:rPr>
          <w:rFonts w:hint="eastAsia" w:ascii="仿宋" w:hAnsi="仿宋" w:eastAsia="仿宋"/>
          <w:b w:val="0"/>
          <w:bCs w:val="0"/>
          <w:color w:val="auto"/>
          <w:sz w:val="28"/>
          <w:szCs w:val="28"/>
          <w:highlight w:val="none"/>
        </w:rPr>
        <w:t>）</w:t>
      </w:r>
    </w:p>
    <w:p>
      <w:pPr>
        <w:pStyle w:val="29"/>
        <w:numPr>
          <w:ilvl w:val="0"/>
          <w:numId w:val="1"/>
        </w:numPr>
        <w:spacing w:line="600" w:lineRule="exact"/>
        <w:ind w:firstLineChars="0"/>
        <w:outlineLvl w:val="1"/>
        <w:rPr>
          <w:rStyle w:val="31"/>
          <w:rFonts w:ascii="黑体" w:hAnsi="黑体" w:eastAsia="黑体"/>
          <w:b w:val="0"/>
          <w:bCs w:val="0"/>
          <w:color w:val="auto"/>
          <w:highlight w:val="none"/>
        </w:rPr>
      </w:pPr>
      <w:bookmarkStart w:id="22" w:name="_Toc15377207"/>
      <w:bookmarkStart w:id="23" w:name="_Toc15396605"/>
      <w:r>
        <w:rPr>
          <w:rFonts w:hint="eastAsia" w:ascii="黑体" w:hAnsi="黑体" w:eastAsia="黑体"/>
          <w:b w:val="0"/>
          <w:bCs w:val="0"/>
          <w:color w:val="auto"/>
          <w:sz w:val="32"/>
          <w:szCs w:val="32"/>
          <w:highlight w:val="none"/>
        </w:rPr>
        <w:t>支</w:t>
      </w:r>
      <w:r>
        <w:rPr>
          <w:rStyle w:val="31"/>
          <w:rFonts w:hint="eastAsia" w:ascii="黑体" w:hAnsi="黑体" w:eastAsia="黑体"/>
          <w:b w:val="0"/>
          <w:bCs w:val="0"/>
          <w:color w:val="auto"/>
          <w:highlight w:val="none"/>
        </w:rPr>
        <w:t>出决算情况说明</w:t>
      </w:r>
      <w:bookmarkEnd w:id="22"/>
      <w:bookmarkEnd w:id="23"/>
    </w:p>
    <w:p>
      <w:pPr>
        <w:spacing w:line="600" w:lineRule="exact"/>
        <w:ind w:firstLine="640" w:firstLineChars="200"/>
        <w:outlineLvl w:val="1"/>
        <w:rPr>
          <w:rFonts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年本年支出合计</w:t>
      </w:r>
      <w:r>
        <w:rPr>
          <w:rFonts w:hint="eastAsia" w:ascii="仿宋" w:hAnsi="仿宋" w:eastAsia="仿宋"/>
          <w:b w:val="0"/>
          <w:bCs w:val="0"/>
          <w:color w:val="auto"/>
          <w:sz w:val="32"/>
          <w:szCs w:val="32"/>
          <w:highlight w:val="none"/>
          <w:lang w:val="en-US" w:eastAsia="zh-CN"/>
        </w:rPr>
        <w:t>138.26</w:t>
      </w:r>
      <w:r>
        <w:rPr>
          <w:rFonts w:hint="eastAsia" w:ascii="仿宋" w:hAnsi="仿宋" w:eastAsia="仿宋"/>
          <w:b w:val="0"/>
          <w:bCs w:val="0"/>
          <w:color w:val="auto"/>
          <w:sz w:val="32"/>
          <w:szCs w:val="32"/>
          <w:highlight w:val="none"/>
        </w:rPr>
        <w:t>万元，其中：基本支出</w:t>
      </w:r>
      <w:r>
        <w:rPr>
          <w:rFonts w:hint="eastAsia" w:ascii="仿宋" w:hAnsi="仿宋" w:eastAsia="仿宋"/>
          <w:b w:val="0"/>
          <w:bCs w:val="0"/>
          <w:color w:val="auto"/>
          <w:sz w:val="32"/>
          <w:szCs w:val="32"/>
          <w:highlight w:val="none"/>
          <w:lang w:val="en-US" w:eastAsia="zh-CN"/>
        </w:rPr>
        <w:t>88.26</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63.84%</w:t>
      </w:r>
      <w:r>
        <w:rPr>
          <w:rFonts w:hint="eastAsia" w:ascii="仿宋" w:hAnsi="仿宋" w:eastAsia="仿宋"/>
          <w:b w:val="0"/>
          <w:bCs w:val="0"/>
          <w:color w:val="auto"/>
          <w:sz w:val="32"/>
          <w:szCs w:val="32"/>
          <w:highlight w:val="none"/>
        </w:rPr>
        <w:t>；项目支出</w:t>
      </w:r>
      <w:r>
        <w:rPr>
          <w:rFonts w:hint="eastAsia" w:ascii="仿宋" w:hAnsi="仿宋" w:eastAsia="仿宋"/>
          <w:b w:val="0"/>
          <w:bCs w:val="0"/>
          <w:color w:val="auto"/>
          <w:sz w:val="32"/>
          <w:szCs w:val="32"/>
          <w:highlight w:val="none"/>
          <w:lang w:val="en-US" w:eastAsia="zh-CN"/>
        </w:rPr>
        <w:t>50</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36.16%</w:t>
      </w:r>
      <w:r>
        <w:rPr>
          <w:rFonts w:hint="eastAsia" w:ascii="仿宋" w:hAnsi="仿宋" w:eastAsia="仿宋"/>
          <w:b w:val="0"/>
          <w:bCs w:val="0"/>
          <w:color w:val="auto"/>
          <w:sz w:val="32"/>
          <w:szCs w:val="32"/>
          <w:highlight w:val="none"/>
        </w:rPr>
        <w:t>；</w:t>
      </w:r>
    </w:p>
    <w:p>
      <w:pPr>
        <w:spacing w:line="600" w:lineRule="exact"/>
        <w:ind w:firstLine="640"/>
        <w:jc w:val="center"/>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shd w:val="pct10" w:color="auto" w:fill="FFFFFF"/>
          <w:lang w:eastAsia="zh-CN"/>
        </w:rPr>
        <w:drawing>
          <wp:anchor distT="0" distB="0" distL="114300" distR="114300" simplePos="0" relativeHeight="251661312" behindDoc="0" locked="0" layoutInCell="1" allowOverlap="1">
            <wp:simplePos x="0" y="0"/>
            <wp:positionH relativeFrom="column">
              <wp:posOffset>156845</wp:posOffset>
            </wp:positionH>
            <wp:positionV relativeFrom="paragraph">
              <wp:posOffset>286385</wp:posOffset>
            </wp:positionV>
            <wp:extent cx="4945380" cy="2931160"/>
            <wp:effectExtent l="4445" t="4445" r="18415" b="57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b w:val="0"/>
          <w:bCs w:val="0"/>
          <w:color w:val="auto"/>
          <w:sz w:val="28"/>
          <w:szCs w:val="28"/>
          <w:highlight w:val="none"/>
        </w:rPr>
        <w:t>（图3：支出决算结构图）（</w:t>
      </w:r>
      <w:r>
        <w:rPr>
          <w:rFonts w:hint="eastAsia" w:ascii="仿宋" w:hAnsi="仿宋" w:eastAsia="仿宋"/>
          <w:b w:val="0"/>
          <w:bCs w:val="0"/>
          <w:color w:val="auto"/>
          <w:sz w:val="28"/>
          <w:szCs w:val="28"/>
          <w:highlight w:val="none"/>
          <w:lang w:val="en-US" w:eastAsia="zh-CN"/>
        </w:rPr>
        <w:t>单位：万元</w:t>
      </w:r>
      <w:r>
        <w:rPr>
          <w:rFonts w:hint="eastAsia" w:ascii="仿宋" w:hAnsi="仿宋" w:eastAsia="仿宋"/>
          <w:b w:val="0"/>
          <w:bCs w:val="0"/>
          <w:color w:val="auto"/>
          <w:sz w:val="28"/>
          <w:szCs w:val="28"/>
          <w:highlight w:val="none"/>
        </w:rPr>
        <w:t>）</w:t>
      </w:r>
    </w:p>
    <w:p>
      <w:pPr>
        <w:spacing w:line="600" w:lineRule="exact"/>
        <w:ind w:firstLine="640" w:firstLineChars="200"/>
        <w:rPr>
          <w:rFonts w:ascii="仿宋" w:hAnsi="仿宋" w:eastAsia="仿宋"/>
          <w:b w:val="0"/>
          <w:bCs w:val="0"/>
          <w:color w:val="auto"/>
          <w:sz w:val="32"/>
          <w:szCs w:val="32"/>
          <w:highlight w:val="none"/>
        </w:rPr>
      </w:pPr>
    </w:p>
    <w:p>
      <w:pPr>
        <w:spacing w:line="600" w:lineRule="exact"/>
        <w:ind w:firstLine="640" w:firstLineChars="200"/>
        <w:rPr>
          <w:rFonts w:ascii="仿宋_GB2312" w:eastAsia="仿宋_GB2312"/>
          <w:b w:val="0"/>
          <w:bCs w:val="0"/>
          <w:color w:val="auto"/>
          <w:sz w:val="32"/>
          <w:szCs w:val="32"/>
          <w:highlight w:val="none"/>
        </w:rPr>
      </w:pPr>
    </w:p>
    <w:p>
      <w:pPr>
        <w:spacing w:line="600" w:lineRule="exact"/>
        <w:ind w:firstLine="640" w:firstLineChars="200"/>
        <w:outlineLvl w:val="1"/>
        <w:rPr>
          <w:rStyle w:val="31"/>
          <w:rFonts w:ascii="黑体" w:hAnsi="黑体" w:eastAsia="黑体"/>
          <w:b w:val="0"/>
          <w:bCs w:val="0"/>
          <w:color w:val="auto"/>
          <w:highlight w:val="none"/>
        </w:rPr>
      </w:pPr>
      <w:bookmarkStart w:id="24" w:name="_Toc15377208"/>
      <w:bookmarkStart w:id="25" w:name="_Toc15396606"/>
      <w:r>
        <w:rPr>
          <w:rFonts w:hint="eastAsia" w:ascii="黑体" w:hAnsi="黑体" w:eastAsia="黑体"/>
          <w:b w:val="0"/>
          <w:bCs w:val="0"/>
          <w:color w:val="auto"/>
          <w:sz w:val="32"/>
          <w:szCs w:val="32"/>
          <w:highlight w:val="none"/>
        </w:rPr>
        <w:t>四、财</w:t>
      </w:r>
      <w:r>
        <w:rPr>
          <w:rStyle w:val="31"/>
          <w:rFonts w:hint="eastAsia" w:ascii="黑体" w:hAnsi="黑体" w:eastAsia="黑体"/>
          <w:b w:val="0"/>
          <w:bCs w:val="0"/>
          <w:color w:val="auto"/>
          <w:highlight w:val="none"/>
        </w:rPr>
        <w:t>政拨款收入支出决算总体情况说明</w:t>
      </w:r>
      <w:bookmarkEnd w:id="24"/>
      <w:bookmarkEnd w:id="25"/>
    </w:p>
    <w:p>
      <w:pPr>
        <w:spacing w:line="600" w:lineRule="exact"/>
        <w:ind w:firstLine="640" w:firstLineChars="200"/>
        <w:rPr>
          <w:rFonts w:hint="eastAsia" w:ascii="仿宋" w:hAnsi="仿宋" w:eastAsia="仿宋"/>
          <w:b w:val="0"/>
          <w:bCs w:val="0"/>
          <w:color w:val="auto"/>
          <w:sz w:val="32"/>
          <w:szCs w:val="32"/>
          <w:highlight w:val="none"/>
          <w:lang w:eastAsia="zh-CN"/>
        </w:rPr>
      </w:pPr>
      <w:bookmarkStart w:id="26" w:name="_Toc15377209"/>
      <w:bookmarkStart w:id="27" w:name="_Toc15396607"/>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年财政拨款收</w:t>
      </w:r>
      <w:r>
        <w:rPr>
          <w:rFonts w:hint="eastAsia" w:ascii="仿宋" w:hAnsi="仿宋" w:eastAsia="仿宋"/>
          <w:b w:val="0"/>
          <w:bCs w:val="0"/>
          <w:color w:val="auto"/>
          <w:sz w:val="32"/>
          <w:szCs w:val="32"/>
          <w:highlight w:val="none"/>
          <w:lang w:val="en-US" w:eastAsia="zh-CN"/>
        </w:rPr>
        <w:t>入</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135.02</w:t>
      </w:r>
      <w:r>
        <w:rPr>
          <w:rFonts w:hint="eastAsia" w:ascii="仿宋" w:hAnsi="仿宋" w:eastAsia="仿宋"/>
          <w:b w:val="0"/>
          <w:bCs w:val="0"/>
          <w:color w:val="auto"/>
          <w:sz w:val="32"/>
          <w:szCs w:val="32"/>
          <w:highlight w:val="none"/>
        </w:rPr>
        <w:t>万元。与20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年相比，财政拨款收</w:t>
      </w:r>
      <w:r>
        <w:rPr>
          <w:rFonts w:hint="eastAsia" w:ascii="仿宋" w:hAnsi="仿宋" w:eastAsia="仿宋"/>
          <w:b w:val="0"/>
          <w:bCs w:val="0"/>
          <w:color w:val="auto"/>
          <w:sz w:val="32"/>
          <w:szCs w:val="32"/>
          <w:highlight w:val="none"/>
          <w:lang w:val="en-US" w:eastAsia="zh-CN"/>
        </w:rPr>
        <w:t>入</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103.27万元，</w:t>
      </w:r>
      <w:r>
        <w:rPr>
          <w:rFonts w:hint="eastAsia" w:ascii="仿宋" w:hAnsi="仿宋" w:eastAsia="仿宋"/>
          <w:b w:val="0"/>
          <w:bCs w:val="0"/>
          <w:color w:val="auto"/>
          <w:sz w:val="32"/>
          <w:szCs w:val="32"/>
          <w:highlight w:val="none"/>
        </w:rPr>
        <w:t>增加</w:t>
      </w:r>
      <w:r>
        <w:rPr>
          <w:rFonts w:hint="eastAsia" w:eastAsia="方正仿宋简体" w:cs="Times New Roman"/>
          <w:b w:val="0"/>
          <w:bCs w:val="0"/>
          <w:color w:val="auto"/>
          <w:kern w:val="0"/>
          <w:sz w:val="32"/>
          <w:szCs w:val="32"/>
          <w:lang w:val="en-US" w:eastAsia="zh-CN" w:bidi="ar-SA"/>
        </w:rPr>
        <w:t>31.75</w:t>
      </w:r>
      <w:r>
        <w:rPr>
          <w:rFonts w:hint="eastAsia" w:ascii="仿宋" w:hAnsi="仿宋" w:eastAsia="仿宋"/>
          <w:b w:val="0"/>
          <w:bCs w:val="0"/>
          <w:color w:val="auto"/>
          <w:sz w:val="32"/>
          <w:szCs w:val="32"/>
          <w:highlight w:val="none"/>
        </w:rPr>
        <w:t>万元，增加</w:t>
      </w:r>
      <w:r>
        <w:rPr>
          <w:rFonts w:hint="eastAsia" w:ascii="仿宋" w:hAnsi="仿宋" w:eastAsia="仿宋"/>
          <w:b w:val="0"/>
          <w:bCs w:val="0"/>
          <w:color w:val="auto"/>
          <w:sz w:val="32"/>
          <w:szCs w:val="32"/>
          <w:highlight w:val="none"/>
          <w:lang w:val="en-US" w:eastAsia="zh-CN"/>
        </w:rPr>
        <w:t>30.74</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年度财政拨款</w:t>
      </w:r>
      <w:r>
        <w:rPr>
          <w:rFonts w:hint="eastAsia" w:ascii="仿宋" w:hAnsi="仿宋" w:eastAsia="仿宋"/>
          <w:b w:val="0"/>
          <w:bCs w:val="0"/>
          <w:color w:val="auto"/>
          <w:sz w:val="32"/>
          <w:szCs w:val="32"/>
          <w:highlight w:val="none"/>
          <w:lang w:val="en-US" w:eastAsia="zh-CN"/>
        </w:rPr>
        <w:t>支出</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138.26</w:t>
      </w:r>
      <w:r>
        <w:rPr>
          <w:rFonts w:hint="eastAsia" w:ascii="仿宋" w:hAnsi="仿宋" w:eastAsia="仿宋"/>
          <w:b w:val="0"/>
          <w:bCs w:val="0"/>
          <w:color w:val="auto"/>
          <w:sz w:val="32"/>
          <w:szCs w:val="32"/>
          <w:highlight w:val="none"/>
        </w:rPr>
        <w:t>万元。与20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w:t>
      </w:r>
      <w:r>
        <w:rPr>
          <w:rFonts w:hint="eastAsia" w:ascii="仿宋" w:hAnsi="仿宋" w:eastAsia="仿宋"/>
          <w:b w:val="0"/>
          <w:bCs w:val="0"/>
          <w:color w:val="auto"/>
          <w:sz w:val="32"/>
          <w:szCs w:val="32"/>
          <w:highlight w:val="none"/>
          <w:lang w:val="en-US" w:eastAsia="zh-CN"/>
        </w:rPr>
        <w:t>支出</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133.51万元，</w:t>
      </w:r>
      <w:r>
        <w:rPr>
          <w:rFonts w:hint="eastAsia" w:ascii="仿宋" w:hAnsi="仿宋" w:eastAsia="仿宋"/>
          <w:b w:val="0"/>
          <w:bCs w:val="0"/>
          <w:color w:val="auto"/>
          <w:sz w:val="32"/>
          <w:szCs w:val="32"/>
          <w:highlight w:val="none"/>
        </w:rPr>
        <w:t>增加</w:t>
      </w:r>
      <w:r>
        <w:rPr>
          <w:rFonts w:hint="eastAsia" w:ascii="仿宋" w:hAnsi="仿宋" w:eastAsia="仿宋"/>
          <w:b w:val="0"/>
          <w:bCs w:val="0"/>
          <w:color w:val="auto"/>
          <w:sz w:val="32"/>
          <w:szCs w:val="32"/>
          <w:highlight w:val="none"/>
          <w:lang w:val="en-US" w:eastAsia="zh-CN"/>
        </w:rPr>
        <w:t>4.75</w:t>
      </w:r>
      <w:r>
        <w:rPr>
          <w:rFonts w:hint="eastAsia" w:ascii="仿宋" w:hAnsi="仿宋" w:eastAsia="仿宋"/>
          <w:b w:val="0"/>
          <w:bCs w:val="0"/>
          <w:color w:val="auto"/>
          <w:sz w:val="32"/>
          <w:szCs w:val="32"/>
          <w:highlight w:val="none"/>
        </w:rPr>
        <w:t>万元，增加</w:t>
      </w:r>
      <w:r>
        <w:rPr>
          <w:rFonts w:hint="eastAsia" w:ascii="仿宋" w:hAnsi="仿宋" w:eastAsia="仿宋"/>
          <w:b w:val="0"/>
          <w:bCs w:val="0"/>
          <w:color w:val="auto"/>
          <w:sz w:val="32"/>
          <w:szCs w:val="32"/>
          <w:highlight w:val="none"/>
          <w:lang w:val="en-US" w:eastAsia="zh-CN"/>
        </w:rPr>
        <w:t>3.56</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。主要变动原因是</w:t>
      </w:r>
      <w:r>
        <w:rPr>
          <w:rFonts w:hint="eastAsia" w:ascii="仿宋" w:hAnsi="仿宋" w:eastAsia="仿宋"/>
          <w:b w:val="0"/>
          <w:bCs w:val="0"/>
          <w:color w:val="auto"/>
          <w:sz w:val="32"/>
          <w:szCs w:val="32"/>
          <w:highlight w:val="none"/>
          <w:lang w:val="en-US" w:eastAsia="zh-CN"/>
        </w:rPr>
        <w:t>人员经费和项目经费增加</w:t>
      </w:r>
      <w:r>
        <w:rPr>
          <w:rFonts w:hint="eastAsia" w:ascii="仿宋" w:hAnsi="仿宋" w:eastAsia="仿宋"/>
          <w:b w:val="0"/>
          <w:bCs w:val="0"/>
          <w:color w:val="auto"/>
          <w:sz w:val="32"/>
          <w:szCs w:val="32"/>
          <w:highlight w:val="none"/>
          <w:lang w:eastAsia="zh-CN"/>
        </w:rPr>
        <w:t>。</w:t>
      </w:r>
    </w:p>
    <w:p>
      <w:pPr>
        <w:pStyle w:val="12"/>
        <w:rPr>
          <w:rFonts w:hint="eastAsia"/>
          <w:b w:val="0"/>
          <w:bCs w:val="0"/>
          <w:color w:val="auto"/>
          <w:lang w:eastAsia="zh-CN"/>
        </w:rPr>
      </w:pPr>
    </w:p>
    <w:p>
      <w:pPr>
        <w:spacing w:line="600" w:lineRule="exact"/>
        <w:jc w:val="center"/>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eastAsia="zh-CN"/>
        </w:rPr>
        <w:drawing>
          <wp:anchor distT="0" distB="0" distL="114300" distR="114300" simplePos="0" relativeHeight="251662336" behindDoc="1" locked="0" layoutInCell="1" allowOverlap="1">
            <wp:simplePos x="0" y="0"/>
            <wp:positionH relativeFrom="column">
              <wp:posOffset>97790</wp:posOffset>
            </wp:positionH>
            <wp:positionV relativeFrom="paragraph">
              <wp:posOffset>635</wp:posOffset>
            </wp:positionV>
            <wp:extent cx="5080000" cy="3183890"/>
            <wp:effectExtent l="4445" t="4445" r="5715" b="12065"/>
            <wp:wrapTight wrapText="bothSides">
              <wp:wrapPolygon>
                <wp:start x="-19" y="-30"/>
                <wp:lineTo x="-19" y="21578"/>
                <wp:lineTo x="21560" y="21578"/>
                <wp:lineTo x="21560" y="-30"/>
                <wp:lineTo x="-19" y="-3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val="0"/>
          <w:bCs w:val="0"/>
          <w:color w:val="auto"/>
          <w:sz w:val="28"/>
          <w:szCs w:val="28"/>
          <w:highlight w:val="none"/>
        </w:rPr>
        <w:t>（图4：财政拨款收、支决算总计变动情况）（</w:t>
      </w:r>
      <w:r>
        <w:rPr>
          <w:rFonts w:hint="eastAsia" w:ascii="仿宋" w:hAnsi="仿宋" w:eastAsia="仿宋"/>
          <w:b w:val="0"/>
          <w:bCs w:val="0"/>
          <w:color w:val="auto"/>
          <w:sz w:val="28"/>
          <w:szCs w:val="28"/>
          <w:highlight w:val="none"/>
          <w:lang w:val="en-US" w:eastAsia="zh-CN"/>
        </w:rPr>
        <w:t>单位：万元</w:t>
      </w:r>
      <w:r>
        <w:rPr>
          <w:rFonts w:hint="eastAsia" w:ascii="仿宋" w:hAnsi="仿宋" w:eastAsia="仿宋"/>
          <w:b w:val="0"/>
          <w:bCs w:val="0"/>
          <w:color w:val="auto"/>
          <w:sz w:val="28"/>
          <w:szCs w:val="28"/>
          <w:highlight w:val="none"/>
        </w:rPr>
        <w:t>）</w:t>
      </w:r>
    </w:p>
    <w:p>
      <w:pPr>
        <w:spacing w:line="600" w:lineRule="exact"/>
        <w:ind w:firstLine="640" w:firstLineChars="200"/>
        <w:outlineLvl w:val="1"/>
        <w:rPr>
          <w:rStyle w:val="31"/>
          <w:rFonts w:ascii="黑体" w:hAnsi="黑体" w:eastAsia="黑体"/>
          <w:b w:val="0"/>
          <w:bCs w:val="0"/>
          <w:color w:val="auto"/>
          <w:highlight w:val="none"/>
        </w:rPr>
      </w:pPr>
      <w:r>
        <w:rPr>
          <w:rFonts w:hint="eastAsia" w:ascii="黑体" w:hAnsi="黑体" w:eastAsia="黑体"/>
          <w:b w:val="0"/>
          <w:bCs w:val="0"/>
          <w:color w:val="auto"/>
          <w:sz w:val="32"/>
          <w:szCs w:val="32"/>
          <w:highlight w:val="none"/>
        </w:rPr>
        <w:t>五、一</w:t>
      </w:r>
      <w:r>
        <w:rPr>
          <w:rStyle w:val="31"/>
          <w:rFonts w:hint="eastAsia" w:ascii="黑体" w:hAnsi="黑体" w:eastAsia="黑体"/>
          <w:b w:val="0"/>
          <w:bCs w:val="0"/>
          <w:color w:val="auto"/>
          <w:highlight w:val="none"/>
        </w:rPr>
        <w:t>般公共预算财政拨款支出决算情况说明</w:t>
      </w:r>
      <w:bookmarkEnd w:id="26"/>
      <w:bookmarkEnd w:id="27"/>
    </w:p>
    <w:p>
      <w:pPr>
        <w:spacing w:line="600" w:lineRule="exact"/>
        <w:ind w:firstLine="640" w:firstLineChars="200"/>
        <w:outlineLvl w:val="2"/>
        <w:rPr>
          <w:rFonts w:ascii="仿宋" w:hAnsi="仿宋" w:eastAsia="仿宋"/>
          <w:b w:val="0"/>
          <w:bCs w:val="0"/>
          <w:color w:val="auto"/>
          <w:sz w:val="32"/>
          <w:szCs w:val="32"/>
          <w:highlight w:val="none"/>
        </w:rPr>
      </w:pPr>
      <w:bookmarkStart w:id="28" w:name="_Toc15377210"/>
      <w:r>
        <w:rPr>
          <w:rFonts w:hint="eastAsia" w:ascii="仿宋" w:hAnsi="仿宋" w:eastAsia="仿宋"/>
          <w:b w:val="0"/>
          <w:bCs w:val="0"/>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b w:val="0"/>
          <w:bCs w:val="0"/>
          <w:color w:val="auto"/>
          <w:sz w:val="32"/>
          <w:szCs w:val="32"/>
          <w:highlight w:val="none"/>
        </w:rPr>
      </w:pPr>
      <w:bookmarkStart w:id="29" w:name="_Toc15377211"/>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年一般公共预算财政拨款支出</w:t>
      </w:r>
      <w:r>
        <w:rPr>
          <w:rFonts w:hint="eastAsia" w:ascii="仿宋" w:hAnsi="仿宋" w:eastAsia="仿宋"/>
          <w:b w:val="0"/>
          <w:bCs w:val="0"/>
          <w:color w:val="auto"/>
          <w:sz w:val="32"/>
          <w:szCs w:val="32"/>
          <w:highlight w:val="none"/>
          <w:lang w:val="en-US" w:eastAsia="zh-CN"/>
        </w:rPr>
        <w:t>138.26</w:t>
      </w:r>
      <w:r>
        <w:rPr>
          <w:rFonts w:hint="eastAsia" w:ascii="仿宋" w:hAnsi="仿宋" w:eastAsia="仿宋"/>
          <w:b w:val="0"/>
          <w:bCs w:val="0"/>
          <w:color w:val="auto"/>
          <w:sz w:val="32"/>
          <w:szCs w:val="32"/>
          <w:highlight w:val="none"/>
        </w:rPr>
        <w:t>万元，占本年支出合计的</w:t>
      </w:r>
      <w:r>
        <w:rPr>
          <w:rFonts w:hint="eastAsia" w:ascii="仿宋" w:hAnsi="仿宋" w:eastAsia="仿宋"/>
          <w:b w:val="0"/>
          <w:bCs w:val="0"/>
          <w:color w:val="auto"/>
          <w:sz w:val="32"/>
          <w:szCs w:val="32"/>
          <w:highlight w:val="none"/>
          <w:lang w:val="en-US" w:eastAsia="zh-CN"/>
        </w:rPr>
        <w:t>100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。与</w:t>
      </w: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年相比，一般公共预算财政拨款</w:t>
      </w:r>
      <w:r>
        <w:rPr>
          <w:rFonts w:hint="eastAsia" w:ascii="仿宋" w:hAnsi="仿宋" w:eastAsia="仿宋"/>
          <w:b w:val="0"/>
          <w:bCs w:val="0"/>
          <w:color w:val="auto"/>
          <w:sz w:val="32"/>
          <w:szCs w:val="32"/>
          <w:highlight w:val="none"/>
          <w:lang w:eastAsia="zh-CN"/>
        </w:rPr>
        <w:t>支出</w:t>
      </w:r>
      <w:r>
        <w:rPr>
          <w:rFonts w:hint="eastAsia" w:ascii="仿宋" w:hAnsi="仿宋" w:eastAsia="仿宋"/>
          <w:b w:val="0"/>
          <w:bCs w:val="0"/>
          <w:color w:val="auto"/>
          <w:sz w:val="32"/>
          <w:szCs w:val="32"/>
          <w:highlight w:val="none"/>
          <w:lang w:val="en-US" w:eastAsia="zh-CN"/>
        </w:rPr>
        <w:t>133.51万元，</w:t>
      </w:r>
      <w:r>
        <w:rPr>
          <w:rFonts w:hint="eastAsia" w:ascii="仿宋" w:hAnsi="仿宋" w:eastAsia="仿宋"/>
          <w:b w:val="0"/>
          <w:bCs w:val="0"/>
          <w:color w:val="auto"/>
          <w:sz w:val="32"/>
          <w:szCs w:val="32"/>
          <w:highlight w:val="none"/>
        </w:rPr>
        <w:t>增加</w:t>
      </w:r>
      <w:r>
        <w:rPr>
          <w:rFonts w:hint="eastAsia" w:eastAsia="方正仿宋简体" w:cs="Times New Roman"/>
          <w:b w:val="0"/>
          <w:bCs w:val="0"/>
          <w:color w:val="auto"/>
          <w:kern w:val="0"/>
          <w:sz w:val="32"/>
          <w:szCs w:val="32"/>
          <w:lang w:val="en-US" w:eastAsia="zh-CN" w:bidi="ar-SA"/>
        </w:rPr>
        <w:t>4.75</w:t>
      </w:r>
      <w:r>
        <w:rPr>
          <w:rFonts w:hint="eastAsia" w:ascii="仿宋" w:hAnsi="仿宋" w:eastAsia="仿宋"/>
          <w:b w:val="0"/>
          <w:bCs w:val="0"/>
          <w:color w:val="auto"/>
          <w:sz w:val="32"/>
          <w:szCs w:val="32"/>
          <w:highlight w:val="none"/>
        </w:rPr>
        <w:t>万元，增长</w:t>
      </w:r>
      <w:r>
        <w:rPr>
          <w:rFonts w:hint="eastAsia" w:ascii="仿宋" w:hAnsi="仿宋" w:eastAsia="仿宋"/>
          <w:b w:val="0"/>
          <w:bCs w:val="0"/>
          <w:color w:val="auto"/>
          <w:sz w:val="32"/>
          <w:szCs w:val="32"/>
          <w:highlight w:val="none"/>
          <w:lang w:val="en-US" w:eastAsia="zh-CN"/>
        </w:rPr>
        <w:t>3.56</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。主要变动原因是</w:t>
      </w:r>
      <w:r>
        <w:rPr>
          <w:rFonts w:hint="eastAsia" w:ascii="仿宋" w:hAnsi="仿宋" w:eastAsia="仿宋"/>
          <w:b w:val="0"/>
          <w:bCs w:val="0"/>
          <w:color w:val="auto"/>
          <w:sz w:val="32"/>
          <w:szCs w:val="32"/>
          <w:highlight w:val="none"/>
          <w:lang w:val="en-US" w:eastAsia="zh-CN"/>
        </w:rPr>
        <w:t>人员经费和项目经费增加</w:t>
      </w:r>
      <w:r>
        <w:rPr>
          <w:rFonts w:hint="eastAsia" w:ascii="仿宋" w:hAnsi="仿宋" w:eastAsia="仿宋"/>
          <w:b w:val="0"/>
          <w:bCs w:val="0"/>
          <w:color w:val="auto"/>
          <w:sz w:val="32"/>
          <w:szCs w:val="32"/>
          <w:highlight w:val="none"/>
          <w:lang w:eastAsia="zh-CN"/>
        </w:rPr>
        <w:t>。</w:t>
      </w:r>
    </w:p>
    <w:p>
      <w:pPr>
        <w:pStyle w:val="12"/>
        <w:ind w:left="0" w:leftChars="0" w:firstLine="0" w:firstLineChars="0"/>
        <w:jc w:val="center"/>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eastAsia="zh-CN"/>
        </w:rPr>
        <w:drawing>
          <wp:anchor distT="0" distB="0" distL="114300" distR="114300" simplePos="0" relativeHeight="251663360" behindDoc="1" locked="0" layoutInCell="1" allowOverlap="1">
            <wp:simplePos x="0" y="0"/>
            <wp:positionH relativeFrom="column">
              <wp:posOffset>241935</wp:posOffset>
            </wp:positionH>
            <wp:positionV relativeFrom="paragraph">
              <wp:posOffset>232410</wp:posOffset>
            </wp:positionV>
            <wp:extent cx="4912995" cy="2734945"/>
            <wp:effectExtent l="4445" t="4445" r="5080" b="19050"/>
            <wp:wrapTight wrapText="bothSides">
              <wp:wrapPolygon>
                <wp:start x="-20" y="-35"/>
                <wp:lineTo x="-20" y="21510"/>
                <wp:lineTo x="21555" y="21510"/>
                <wp:lineTo x="21555" y="-35"/>
                <wp:lineTo x="-20" y="-35"/>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val="0"/>
          <w:bCs w:val="0"/>
          <w:color w:val="auto"/>
          <w:sz w:val="28"/>
          <w:szCs w:val="28"/>
          <w:highlight w:val="none"/>
        </w:rPr>
        <w:t>（图5：一般公共预算财政拨款支出决算变动情况）（</w:t>
      </w:r>
      <w:r>
        <w:rPr>
          <w:rFonts w:hint="eastAsia" w:ascii="仿宋" w:hAnsi="仿宋" w:eastAsia="仿宋"/>
          <w:b w:val="0"/>
          <w:bCs w:val="0"/>
          <w:color w:val="auto"/>
          <w:sz w:val="28"/>
          <w:szCs w:val="28"/>
          <w:highlight w:val="none"/>
          <w:lang w:val="en-US" w:eastAsia="zh-CN"/>
        </w:rPr>
        <w:t>单位：万元</w:t>
      </w:r>
      <w:r>
        <w:rPr>
          <w:rFonts w:hint="eastAsia" w:ascii="仿宋" w:hAnsi="仿宋" w:eastAsia="仿宋"/>
          <w:b w:val="0"/>
          <w:bCs w:val="0"/>
          <w:color w:val="auto"/>
          <w:sz w:val="28"/>
          <w:szCs w:val="28"/>
          <w:highlight w:val="none"/>
        </w:rPr>
        <w:t>）</w:t>
      </w:r>
    </w:p>
    <w:p>
      <w:pPr>
        <w:spacing w:line="600" w:lineRule="exact"/>
        <w:ind w:firstLine="640" w:firstLineChars="200"/>
        <w:outlineLvl w:val="2"/>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（二）一般公共预算财政拨款支出决算结构情况</w:t>
      </w:r>
      <w:bookmarkEnd w:id="29"/>
    </w:p>
    <w:p>
      <w:pPr>
        <w:spacing w:line="600" w:lineRule="exact"/>
        <w:ind w:firstLine="640"/>
        <w:rPr>
          <w:rFonts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年一般公共预算财政拨款支出</w:t>
      </w:r>
      <w:r>
        <w:rPr>
          <w:rFonts w:hint="eastAsia" w:ascii="仿宋" w:hAnsi="仿宋" w:eastAsia="仿宋"/>
          <w:b w:val="0"/>
          <w:bCs w:val="0"/>
          <w:color w:val="auto"/>
          <w:sz w:val="32"/>
          <w:szCs w:val="32"/>
          <w:highlight w:val="none"/>
          <w:lang w:val="en-US" w:eastAsia="zh-CN"/>
        </w:rPr>
        <w:t>138.26</w:t>
      </w:r>
      <w:r>
        <w:rPr>
          <w:rFonts w:hint="eastAsia" w:ascii="仿宋" w:hAnsi="仿宋" w:eastAsia="仿宋"/>
          <w:b w:val="0"/>
          <w:bCs w:val="0"/>
          <w:color w:val="auto"/>
          <w:sz w:val="32"/>
          <w:szCs w:val="32"/>
          <w:highlight w:val="none"/>
        </w:rPr>
        <w:t>万元，主要用于以下方面</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一般公共服务支出</w:t>
      </w:r>
      <w:r>
        <w:rPr>
          <w:rFonts w:hint="eastAsia" w:ascii="仿宋" w:hAnsi="仿宋" w:eastAsia="仿宋"/>
          <w:b w:val="0"/>
          <w:bCs w:val="0"/>
          <w:color w:val="auto"/>
          <w:sz w:val="32"/>
          <w:szCs w:val="32"/>
          <w:highlight w:val="none"/>
          <w:lang w:val="en-US" w:eastAsia="zh-CN"/>
        </w:rPr>
        <w:t>123.36</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89.22</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；社会保障和就业支出</w:t>
      </w:r>
      <w:r>
        <w:rPr>
          <w:rFonts w:hint="eastAsia" w:ascii="仿宋" w:hAnsi="仿宋" w:eastAsia="仿宋"/>
          <w:b w:val="0"/>
          <w:bCs w:val="0"/>
          <w:color w:val="auto"/>
          <w:sz w:val="32"/>
          <w:szCs w:val="32"/>
          <w:highlight w:val="none"/>
          <w:lang w:val="en-US" w:eastAsia="zh-CN"/>
        </w:rPr>
        <w:t>7.32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5.29</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3.26</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2.36</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；住房保障支出</w:t>
      </w:r>
      <w:r>
        <w:rPr>
          <w:rFonts w:hint="eastAsia" w:ascii="仿宋" w:hAnsi="仿宋" w:eastAsia="仿宋"/>
          <w:b w:val="0"/>
          <w:bCs w:val="0"/>
          <w:color w:val="auto"/>
          <w:sz w:val="32"/>
          <w:szCs w:val="32"/>
          <w:highlight w:val="none"/>
          <w:lang w:val="en-US" w:eastAsia="zh-CN"/>
        </w:rPr>
        <w:t>4.32</w:t>
      </w:r>
      <w:r>
        <w:rPr>
          <w:rFonts w:hint="eastAsia" w:ascii="仿宋" w:hAnsi="仿宋" w:eastAsia="仿宋"/>
          <w:b w:val="0"/>
          <w:bCs w:val="0"/>
          <w:color w:val="auto"/>
          <w:sz w:val="32"/>
          <w:szCs w:val="32"/>
          <w:highlight w:val="none"/>
        </w:rPr>
        <w:t>元，占</w:t>
      </w:r>
      <w:r>
        <w:rPr>
          <w:rFonts w:hint="eastAsia" w:ascii="仿宋" w:hAnsi="仿宋" w:eastAsia="仿宋"/>
          <w:b w:val="0"/>
          <w:bCs w:val="0"/>
          <w:color w:val="auto"/>
          <w:sz w:val="32"/>
          <w:szCs w:val="32"/>
          <w:highlight w:val="none"/>
          <w:lang w:val="en-US" w:eastAsia="zh-CN"/>
        </w:rPr>
        <w:t>3.13</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p>
    <w:p>
      <w:pPr>
        <w:pStyle w:val="12"/>
        <w:rPr>
          <w:rFonts w:hint="eastAsia" w:eastAsia="仿宋"/>
          <w:b w:val="0"/>
          <w:bCs w:val="0"/>
          <w:color w:val="auto"/>
          <w:lang w:eastAsia="zh-CN"/>
        </w:rPr>
      </w:pPr>
      <w:r>
        <w:rPr>
          <w:rFonts w:hint="eastAsia" w:eastAsia="仿宋"/>
          <w:b w:val="0"/>
          <w:bCs w:val="0"/>
          <w:color w:val="auto"/>
          <w:lang w:eastAsia="zh-CN"/>
        </w:rPr>
        <w:drawing>
          <wp:inline distT="0" distB="0" distL="114300" distR="114300">
            <wp:extent cx="4631690" cy="2430780"/>
            <wp:effectExtent l="4445" t="4445" r="12065" b="184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2"/>
        <w:ind w:left="0" w:leftChars="0" w:firstLine="0" w:firstLineChars="0"/>
        <w:jc w:val="center"/>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（图6：一般公共预算财政拨款支出决算结构）</w:t>
      </w:r>
      <w:r>
        <w:rPr>
          <w:rFonts w:hint="eastAsia" w:ascii="仿宋" w:hAnsi="仿宋" w:eastAsia="仿宋"/>
          <w:b w:val="0"/>
          <w:bCs w:val="0"/>
          <w:color w:val="auto"/>
          <w:sz w:val="28"/>
          <w:szCs w:val="28"/>
          <w:highlight w:val="none"/>
          <w:lang w:eastAsia="zh-CN"/>
        </w:rPr>
        <w:t>（</w:t>
      </w:r>
      <w:r>
        <w:rPr>
          <w:rFonts w:hint="eastAsia" w:ascii="仿宋" w:hAnsi="仿宋" w:eastAsia="仿宋"/>
          <w:b w:val="0"/>
          <w:bCs w:val="0"/>
          <w:color w:val="auto"/>
          <w:sz w:val="28"/>
          <w:szCs w:val="28"/>
          <w:highlight w:val="none"/>
          <w:lang w:val="en-US" w:eastAsia="zh-CN"/>
        </w:rPr>
        <w:t>单位：万元</w:t>
      </w:r>
      <w:r>
        <w:rPr>
          <w:rFonts w:hint="eastAsia" w:ascii="仿宋" w:hAnsi="仿宋" w:eastAsia="仿宋"/>
          <w:b w:val="0"/>
          <w:bCs w:val="0"/>
          <w:color w:val="auto"/>
          <w:sz w:val="28"/>
          <w:szCs w:val="28"/>
          <w:highlight w:val="none"/>
        </w:rPr>
        <w:t>）</w:t>
      </w:r>
    </w:p>
    <w:p>
      <w:pPr>
        <w:spacing w:line="600" w:lineRule="exact"/>
        <w:ind w:firstLine="640" w:firstLineChars="200"/>
        <w:outlineLvl w:val="2"/>
        <w:rPr>
          <w:rFonts w:ascii="仿宋" w:hAnsi="仿宋" w:eastAsia="仿宋"/>
          <w:b w:val="0"/>
          <w:bCs w:val="0"/>
          <w:color w:val="auto"/>
          <w:sz w:val="32"/>
          <w:szCs w:val="32"/>
          <w:highlight w:val="none"/>
        </w:rPr>
      </w:pPr>
      <w:bookmarkStart w:id="30" w:name="_Toc15377212"/>
      <w:r>
        <w:rPr>
          <w:rFonts w:hint="eastAsia" w:ascii="仿宋" w:hAnsi="仿宋" w:eastAsia="仿宋"/>
          <w:b w:val="0"/>
          <w:bCs w:val="0"/>
          <w:color w:val="auto"/>
          <w:sz w:val="32"/>
          <w:szCs w:val="32"/>
          <w:highlight w:val="none"/>
        </w:rPr>
        <w:t>（三）一般公共预算财政拨款支出决算具体情况</w:t>
      </w:r>
      <w:bookmarkEnd w:id="30"/>
    </w:p>
    <w:p>
      <w:pPr>
        <w:spacing w:line="600" w:lineRule="exact"/>
        <w:ind w:firstLine="640" w:firstLineChars="200"/>
        <w:outlineLvl w:val="2"/>
        <w:rPr>
          <w:rFonts w:ascii="仿宋" w:hAnsi="仿宋" w:eastAsia="仿宋"/>
          <w:b w:val="0"/>
          <w:bCs w:val="0"/>
          <w:color w:val="auto"/>
          <w:sz w:val="32"/>
          <w:szCs w:val="32"/>
          <w:highlight w:val="none"/>
        </w:rPr>
      </w:pPr>
      <w:bookmarkStart w:id="31" w:name="_Toc15378460"/>
      <w:bookmarkStart w:id="32" w:name="_Toc15377444"/>
      <w:bookmarkStart w:id="33" w:name="_Toc15377213"/>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w:t>
      </w:r>
      <w:r>
        <w:rPr>
          <w:rFonts w:hint="eastAsia" w:ascii="仿宋" w:hAnsi="仿宋" w:eastAsia="仿宋"/>
          <w:b w:val="0"/>
          <w:bCs w:val="0"/>
          <w:color w:val="auto"/>
          <w:sz w:val="32"/>
          <w:szCs w:val="32"/>
          <w:highlight w:val="none"/>
          <w:lang w:eastAsia="zh-CN"/>
        </w:rPr>
        <w:t>一</w:t>
      </w:r>
      <w:r>
        <w:rPr>
          <w:rFonts w:hint="eastAsia" w:ascii="仿宋" w:hAnsi="仿宋" w:eastAsia="仿宋"/>
          <w:b w:val="0"/>
          <w:bCs w:val="0"/>
          <w:color w:val="auto"/>
          <w:sz w:val="32"/>
          <w:szCs w:val="32"/>
          <w:highlight w:val="none"/>
        </w:rPr>
        <w:t>般公共预算支出决算数为</w:t>
      </w:r>
      <w:r>
        <w:rPr>
          <w:rFonts w:hint="eastAsia" w:ascii="仿宋" w:hAnsi="仿宋" w:eastAsia="仿宋"/>
          <w:b w:val="0"/>
          <w:bCs w:val="0"/>
          <w:color w:val="auto"/>
          <w:sz w:val="32"/>
          <w:szCs w:val="32"/>
          <w:highlight w:val="none"/>
          <w:lang w:val="en-US" w:eastAsia="zh-CN"/>
        </w:rPr>
        <w:t>138.26</w:t>
      </w:r>
      <w:r>
        <w:rPr>
          <w:rFonts w:hint="eastAsia"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完成预算</w:t>
      </w:r>
      <w:r>
        <w:rPr>
          <w:rStyle w:val="18"/>
          <w:rFonts w:hint="eastAsia" w:ascii="仿宋" w:hAnsi="仿宋" w:eastAsia="仿宋"/>
          <w:b w:val="0"/>
          <w:bCs w:val="0"/>
          <w:color w:val="auto"/>
          <w:sz w:val="32"/>
          <w:szCs w:val="32"/>
          <w:highlight w:val="none"/>
          <w:lang w:val="en-US" w:eastAsia="zh-CN"/>
        </w:rPr>
        <w:t>100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。其中：</w:t>
      </w:r>
      <w:bookmarkEnd w:id="31"/>
      <w:bookmarkEnd w:id="32"/>
      <w:bookmarkEnd w:id="33"/>
    </w:p>
    <w:p>
      <w:pPr>
        <w:spacing w:line="600" w:lineRule="exact"/>
        <w:ind w:firstLine="640" w:firstLineChars="200"/>
        <w:rPr>
          <w:rFonts w:ascii="仿宋" w:hAnsi="仿宋" w:eastAsia="仿宋"/>
          <w:b w:val="0"/>
          <w:bCs w:val="0"/>
          <w:color w:val="auto"/>
          <w:sz w:val="32"/>
          <w:szCs w:val="32"/>
          <w:highlight w:val="none"/>
        </w:rPr>
      </w:pPr>
      <w:r>
        <w:rPr>
          <w:rStyle w:val="18"/>
          <w:rFonts w:ascii="仿宋" w:hAnsi="仿宋" w:eastAsia="仿宋"/>
          <w:b w:val="0"/>
          <w:bCs w:val="0"/>
          <w:color w:val="auto"/>
          <w:sz w:val="32"/>
          <w:szCs w:val="32"/>
          <w:highlight w:val="none"/>
        </w:rPr>
        <w:t>1.</w:t>
      </w:r>
      <w:r>
        <w:rPr>
          <w:rStyle w:val="18"/>
          <w:rFonts w:hint="eastAsia" w:ascii="仿宋" w:hAnsi="仿宋" w:eastAsia="仿宋"/>
          <w:b w:val="0"/>
          <w:bCs w:val="0"/>
          <w:color w:val="auto"/>
          <w:sz w:val="32"/>
          <w:szCs w:val="32"/>
          <w:highlight w:val="none"/>
        </w:rPr>
        <w:t>一般公共服务（类）</w:t>
      </w:r>
      <w:r>
        <w:rPr>
          <w:rStyle w:val="18"/>
          <w:rFonts w:hint="eastAsia" w:ascii="仿宋" w:hAnsi="仿宋" w:eastAsia="仿宋"/>
          <w:b w:val="0"/>
          <w:bCs w:val="0"/>
          <w:color w:val="auto"/>
          <w:sz w:val="32"/>
          <w:szCs w:val="32"/>
          <w:highlight w:val="none"/>
          <w:lang w:val="en-US" w:eastAsia="zh-CN"/>
        </w:rPr>
        <w:t>民主党派及工商联事务</w:t>
      </w:r>
      <w:r>
        <w:rPr>
          <w:rStyle w:val="18"/>
          <w:rFonts w:hint="eastAsia" w:ascii="仿宋" w:hAnsi="仿宋" w:eastAsia="仿宋"/>
          <w:b w:val="0"/>
          <w:bCs w:val="0"/>
          <w:color w:val="auto"/>
          <w:sz w:val="32"/>
          <w:szCs w:val="32"/>
          <w:highlight w:val="none"/>
        </w:rPr>
        <w:t>（款）</w:t>
      </w:r>
      <w:r>
        <w:rPr>
          <w:rStyle w:val="18"/>
          <w:rFonts w:hint="eastAsia" w:ascii="仿宋" w:hAnsi="仿宋" w:eastAsia="仿宋"/>
          <w:b w:val="0"/>
          <w:bCs w:val="0"/>
          <w:color w:val="auto"/>
          <w:sz w:val="32"/>
          <w:szCs w:val="32"/>
          <w:highlight w:val="none"/>
          <w:lang w:val="en-US" w:eastAsia="zh-CN"/>
        </w:rPr>
        <w:t>行政动行</w:t>
      </w:r>
      <w:r>
        <w:rPr>
          <w:rStyle w:val="18"/>
          <w:rFonts w:hint="eastAsia" w:ascii="仿宋" w:hAnsi="仿宋" w:eastAsia="仿宋"/>
          <w:b w:val="0"/>
          <w:bCs w:val="0"/>
          <w:color w:val="auto"/>
          <w:sz w:val="32"/>
          <w:szCs w:val="32"/>
          <w:highlight w:val="none"/>
        </w:rPr>
        <w:t>（项）</w:t>
      </w:r>
      <w:r>
        <w:rPr>
          <w:rStyle w:val="18"/>
          <w:rFonts w:hint="eastAsia" w:ascii="仿宋" w:hAnsi="仿宋" w:eastAsia="仿宋"/>
          <w:b w:val="0"/>
          <w:bCs w:val="0"/>
          <w:color w:val="auto"/>
          <w:sz w:val="32"/>
          <w:szCs w:val="32"/>
          <w:highlight w:val="none"/>
          <w:lang w:eastAsia="zh-CN"/>
        </w:rPr>
        <w:t>（</w:t>
      </w:r>
      <w:r>
        <w:rPr>
          <w:rStyle w:val="18"/>
          <w:rFonts w:hint="eastAsia" w:ascii="仿宋" w:hAnsi="仿宋" w:eastAsia="仿宋"/>
          <w:b w:val="0"/>
          <w:bCs w:val="0"/>
          <w:color w:val="auto"/>
          <w:sz w:val="32"/>
          <w:szCs w:val="32"/>
          <w:highlight w:val="none"/>
          <w:lang w:val="en-US" w:eastAsia="zh-CN"/>
        </w:rPr>
        <w:t>2012801）</w:t>
      </w:r>
      <w:r>
        <w:rPr>
          <w:rStyle w:val="18"/>
          <w:rFonts w:ascii="仿宋" w:hAnsi="仿宋" w:eastAsia="仿宋"/>
          <w:b w:val="0"/>
          <w:bCs w:val="0"/>
          <w:color w:val="auto"/>
          <w:sz w:val="32"/>
          <w:szCs w:val="32"/>
          <w:highlight w:val="none"/>
        </w:rPr>
        <w:t xml:space="preserve">: </w:t>
      </w:r>
      <w:r>
        <w:rPr>
          <w:rStyle w:val="18"/>
          <w:rFonts w:hint="eastAsia" w:ascii="仿宋" w:hAnsi="仿宋" w:eastAsia="仿宋"/>
          <w:b w:val="0"/>
          <w:bCs w:val="0"/>
          <w:color w:val="auto"/>
          <w:sz w:val="32"/>
          <w:szCs w:val="32"/>
          <w:highlight w:val="none"/>
        </w:rPr>
        <w:t>支出决算为</w:t>
      </w:r>
      <w:r>
        <w:rPr>
          <w:rStyle w:val="18"/>
          <w:rFonts w:hint="eastAsia" w:ascii="仿宋" w:hAnsi="仿宋" w:eastAsia="仿宋"/>
          <w:b w:val="0"/>
          <w:bCs w:val="0"/>
          <w:color w:val="auto"/>
          <w:sz w:val="32"/>
          <w:szCs w:val="32"/>
          <w:highlight w:val="none"/>
          <w:lang w:val="en-US" w:eastAsia="zh-CN"/>
        </w:rPr>
        <w:t>73.36</w:t>
      </w:r>
      <w:r>
        <w:rPr>
          <w:rStyle w:val="18"/>
          <w:rFonts w:hint="eastAsia" w:ascii="仿宋" w:hAnsi="仿宋" w:eastAsia="仿宋"/>
          <w:b w:val="0"/>
          <w:bCs w:val="0"/>
          <w:color w:val="auto"/>
          <w:sz w:val="32"/>
          <w:szCs w:val="32"/>
          <w:highlight w:val="none"/>
        </w:rPr>
        <w:t>万元，完成预算</w:t>
      </w:r>
      <w:r>
        <w:rPr>
          <w:rStyle w:val="18"/>
          <w:rFonts w:hint="eastAsia" w:ascii="仿宋" w:hAnsi="仿宋" w:eastAsia="仿宋"/>
          <w:b w:val="0"/>
          <w:bCs w:val="0"/>
          <w:color w:val="auto"/>
          <w:sz w:val="32"/>
          <w:szCs w:val="32"/>
          <w:highlight w:val="none"/>
          <w:lang w:val="en-US" w:eastAsia="zh-CN"/>
        </w:rPr>
        <w:t>100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，决算数等于预算数。</w:t>
      </w:r>
    </w:p>
    <w:p>
      <w:pPr>
        <w:spacing w:line="600" w:lineRule="exact"/>
        <w:ind w:firstLine="640" w:firstLineChars="200"/>
        <w:rPr>
          <w:rFonts w:ascii="仿宋" w:hAnsi="仿宋" w:eastAsia="仿宋"/>
          <w:b w:val="0"/>
          <w:bCs w:val="0"/>
          <w:color w:val="auto"/>
          <w:sz w:val="32"/>
          <w:szCs w:val="32"/>
          <w:highlight w:val="none"/>
        </w:rPr>
      </w:pPr>
      <w:r>
        <w:rPr>
          <w:rStyle w:val="18"/>
          <w:rFonts w:ascii="仿宋" w:hAnsi="仿宋" w:eastAsia="仿宋"/>
          <w:b w:val="0"/>
          <w:bCs w:val="0"/>
          <w:color w:val="auto"/>
          <w:sz w:val="32"/>
          <w:szCs w:val="32"/>
          <w:highlight w:val="none"/>
        </w:rPr>
        <w:t>2.</w:t>
      </w:r>
      <w:r>
        <w:rPr>
          <w:rStyle w:val="18"/>
          <w:rFonts w:hint="eastAsia" w:ascii="仿宋" w:hAnsi="仿宋" w:eastAsia="仿宋"/>
          <w:b w:val="0"/>
          <w:bCs w:val="0"/>
          <w:color w:val="auto"/>
          <w:sz w:val="32"/>
          <w:szCs w:val="32"/>
          <w:highlight w:val="none"/>
        </w:rPr>
        <w:t>一般公共服务（类）</w:t>
      </w:r>
      <w:r>
        <w:rPr>
          <w:rStyle w:val="18"/>
          <w:rFonts w:hint="eastAsia" w:ascii="仿宋" w:hAnsi="仿宋" w:eastAsia="仿宋"/>
          <w:b w:val="0"/>
          <w:bCs w:val="0"/>
          <w:color w:val="auto"/>
          <w:sz w:val="32"/>
          <w:szCs w:val="32"/>
          <w:highlight w:val="none"/>
          <w:lang w:val="en-US" w:eastAsia="zh-CN"/>
        </w:rPr>
        <w:t>民主党派及工商联事务</w:t>
      </w:r>
      <w:r>
        <w:rPr>
          <w:rStyle w:val="18"/>
          <w:rFonts w:hint="eastAsia" w:ascii="仿宋" w:hAnsi="仿宋" w:eastAsia="仿宋"/>
          <w:b w:val="0"/>
          <w:bCs w:val="0"/>
          <w:color w:val="auto"/>
          <w:sz w:val="32"/>
          <w:szCs w:val="32"/>
          <w:highlight w:val="none"/>
        </w:rPr>
        <w:t>（款）</w:t>
      </w:r>
      <w:r>
        <w:rPr>
          <w:rStyle w:val="18"/>
          <w:rFonts w:hint="eastAsia" w:ascii="仿宋" w:hAnsi="仿宋" w:eastAsia="仿宋"/>
          <w:b w:val="0"/>
          <w:bCs w:val="0"/>
          <w:color w:val="auto"/>
          <w:sz w:val="32"/>
          <w:szCs w:val="32"/>
          <w:highlight w:val="none"/>
          <w:lang w:val="en-US" w:eastAsia="zh-CN"/>
        </w:rPr>
        <w:t>一般行政管理事务</w:t>
      </w:r>
      <w:r>
        <w:rPr>
          <w:rStyle w:val="18"/>
          <w:rFonts w:hint="eastAsia" w:ascii="仿宋" w:hAnsi="仿宋" w:eastAsia="仿宋"/>
          <w:b w:val="0"/>
          <w:bCs w:val="0"/>
          <w:color w:val="auto"/>
          <w:sz w:val="32"/>
          <w:szCs w:val="32"/>
          <w:highlight w:val="none"/>
        </w:rPr>
        <w:t>（项）</w:t>
      </w:r>
      <w:r>
        <w:rPr>
          <w:rStyle w:val="18"/>
          <w:rFonts w:hint="eastAsia" w:ascii="仿宋" w:hAnsi="仿宋" w:eastAsia="仿宋"/>
          <w:b w:val="0"/>
          <w:bCs w:val="0"/>
          <w:color w:val="auto"/>
          <w:sz w:val="32"/>
          <w:szCs w:val="32"/>
          <w:highlight w:val="none"/>
          <w:lang w:eastAsia="zh-CN"/>
        </w:rPr>
        <w:t>（</w:t>
      </w:r>
      <w:r>
        <w:rPr>
          <w:rStyle w:val="18"/>
          <w:rFonts w:hint="eastAsia" w:ascii="仿宋" w:hAnsi="仿宋" w:eastAsia="仿宋"/>
          <w:b w:val="0"/>
          <w:bCs w:val="0"/>
          <w:color w:val="auto"/>
          <w:sz w:val="32"/>
          <w:szCs w:val="32"/>
          <w:highlight w:val="none"/>
          <w:lang w:val="en-US" w:eastAsia="zh-CN"/>
        </w:rPr>
        <w:t>2012802）</w:t>
      </w:r>
      <w:r>
        <w:rPr>
          <w:rStyle w:val="18"/>
          <w:rFonts w:ascii="仿宋" w:hAnsi="仿宋" w:eastAsia="仿宋"/>
          <w:b w:val="0"/>
          <w:bCs w:val="0"/>
          <w:color w:val="auto"/>
          <w:sz w:val="32"/>
          <w:szCs w:val="32"/>
          <w:highlight w:val="none"/>
        </w:rPr>
        <w:t xml:space="preserve">: </w:t>
      </w:r>
      <w:r>
        <w:rPr>
          <w:rStyle w:val="18"/>
          <w:rFonts w:hint="eastAsia" w:ascii="仿宋" w:hAnsi="仿宋" w:eastAsia="仿宋"/>
          <w:b w:val="0"/>
          <w:bCs w:val="0"/>
          <w:color w:val="auto"/>
          <w:sz w:val="32"/>
          <w:szCs w:val="32"/>
          <w:highlight w:val="none"/>
        </w:rPr>
        <w:t>支出决算为</w:t>
      </w:r>
      <w:r>
        <w:rPr>
          <w:rStyle w:val="18"/>
          <w:rFonts w:hint="eastAsia" w:ascii="仿宋" w:hAnsi="仿宋" w:eastAsia="仿宋"/>
          <w:b w:val="0"/>
          <w:bCs w:val="0"/>
          <w:color w:val="auto"/>
          <w:sz w:val="32"/>
          <w:szCs w:val="32"/>
          <w:highlight w:val="none"/>
          <w:lang w:val="en-US" w:eastAsia="zh-CN"/>
        </w:rPr>
        <w:t>50</w:t>
      </w:r>
      <w:r>
        <w:rPr>
          <w:rStyle w:val="18"/>
          <w:rFonts w:hint="eastAsia" w:ascii="仿宋" w:hAnsi="仿宋" w:eastAsia="仿宋"/>
          <w:b w:val="0"/>
          <w:bCs w:val="0"/>
          <w:color w:val="auto"/>
          <w:sz w:val="32"/>
          <w:szCs w:val="32"/>
          <w:highlight w:val="none"/>
        </w:rPr>
        <w:t>万元，完成预算</w:t>
      </w:r>
      <w:r>
        <w:rPr>
          <w:rStyle w:val="18"/>
          <w:rFonts w:hint="eastAsia" w:ascii="仿宋" w:hAnsi="仿宋" w:eastAsia="仿宋"/>
          <w:b w:val="0"/>
          <w:bCs w:val="0"/>
          <w:color w:val="auto"/>
          <w:sz w:val="32"/>
          <w:szCs w:val="32"/>
          <w:highlight w:val="none"/>
          <w:lang w:val="en-US" w:eastAsia="zh-CN"/>
        </w:rPr>
        <w:t>100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，决算数等于预算数。</w:t>
      </w:r>
    </w:p>
    <w:p>
      <w:pPr>
        <w:spacing w:line="600" w:lineRule="exact"/>
        <w:ind w:firstLine="640" w:firstLineChars="200"/>
        <w:rPr>
          <w:rStyle w:val="18"/>
          <w:rFonts w:hint="eastAsia" w:ascii="仿宋" w:hAnsi="仿宋" w:eastAsia="仿宋"/>
          <w:b w:val="0"/>
          <w:bCs w:val="0"/>
          <w:color w:val="auto"/>
          <w:sz w:val="32"/>
          <w:szCs w:val="32"/>
          <w:highlight w:val="none"/>
        </w:rPr>
      </w:pPr>
      <w:r>
        <w:rPr>
          <w:rStyle w:val="18"/>
          <w:rFonts w:ascii="仿宋" w:hAnsi="仿宋" w:eastAsia="仿宋"/>
          <w:b w:val="0"/>
          <w:bCs w:val="0"/>
          <w:color w:val="auto"/>
          <w:sz w:val="32"/>
          <w:szCs w:val="32"/>
          <w:highlight w:val="none"/>
        </w:rPr>
        <w:t>3.</w:t>
      </w:r>
      <w:r>
        <w:rPr>
          <w:rStyle w:val="18"/>
          <w:rFonts w:hint="eastAsia" w:ascii="仿宋" w:hAnsi="仿宋" w:eastAsia="仿宋"/>
          <w:b w:val="0"/>
          <w:bCs w:val="0"/>
          <w:color w:val="auto"/>
          <w:sz w:val="32"/>
          <w:szCs w:val="32"/>
          <w:highlight w:val="none"/>
        </w:rPr>
        <w:t>社会保障和就业（类）行政事业单位养老支出（款）机关事业单位基本养老保险缴费支出（项）</w:t>
      </w:r>
      <w:r>
        <w:rPr>
          <w:rStyle w:val="18"/>
          <w:rFonts w:hint="eastAsia" w:ascii="仿宋" w:hAnsi="仿宋" w:eastAsia="仿宋"/>
          <w:b w:val="0"/>
          <w:bCs w:val="0"/>
          <w:color w:val="auto"/>
          <w:sz w:val="32"/>
          <w:szCs w:val="32"/>
          <w:highlight w:val="none"/>
          <w:lang w:eastAsia="zh-CN"/>
        </w:rPr>
        <w:t>（</w:t>
      </w:r>
      <w:r>
        <w:rPr>
          <w:rStyle w:val="18"/>
          <w:rFonts w:hint="eastAsia" w:ascii="仿宋" w:hAnsi="仿宋" w:eastAsia="仿宋"/>
          <w:b w:val="0"/>
          <w:bCs w:val="0"/>
          <w:color w:val="auto"/>
          <w:sz w:val="32"/>
          <w:szCs w:val="32"/>
          <w:highlight w:val="none"/>
          <w:lang w:val="en-US" w:eastAsia="zh-CN"/>
        </w:rPr>
        <w:t>2080505）</w:t>
      </w:r>
      <w:r>
        <w:rPr>
          <w:rStyle w:val="18"/>
          <w:rFonts w:ascii="仿宋" w:hAnsi="仿宋" w:eastAsia="仿宋"/>
          <w:b w:val="0"/>
          <w:bCs w:val="0"/>
          <w:color w:val="auto"/>
          <w:sz w:val="32"/>
          <w:szCs w:val="32"/>
          <w:highlight w:val="none"/>
        </w:rPr>
        <w:t xml:space="preserve">: </w:t>
      </w:r>
      <w:r>
        <w:rPr>
          <w:rStyle w:val="18"/>
          <w:rFonts w:hint="eastAsia" w:ascii="仿宋" w:hAnsi="仿宋" w:eastAsia="仿宋"/>
          <w:b w:val="0"/>
          <w:bCs w:val="0"/>
          <w:color w:val="auto"/>
          <w:sz w:val="32"/>
          <w:szCs w:val="32"/>
          <w:highlight w:val="none"/>
        </w:rPr>
        <w:t>支出决算为</w:t>
      </w:r>
      <w:r>
        <w:rPr>
          <w:rStyle w:val="18"/>
          <w:rFonts w:hint="eastAsia" w:ascii="仿宋" w:hAnsi="仿宋" w:eastAsia="仿宋"/>
          <w:b w:val="0"/>
          <w:bCs w:val="0"/>
          <w:color w:val="auto"/>
          <w:sz w:val="32"/>
          <w:szCs w:val="32"/>
          <w:highlight w:val="none"/>
          <w:lang w:val="en-US" w:eastAsia="zh-CN"/>
        </w:rPr>
        <w:t>7.32</w:t>
      </w:r>
      <w:r>
        <w:rPr>
          <w:rStyle w:val="18"/>
          <w:rFonts w:hint="eastAsia" w:ascii="仿宋" w:hAnsi="仿宋" w:eastAsia="仿宋"/>
          <w:b w:val="0"/>
          <w:bCs w:val="0"/>
          <w:color w:val="auto"/>
          <w:sz w:val="32"/>
          <w:szCs w:val="32"/>
          <w:highlight w:val="none"/>
        </w:rPr>
        <w:t>万元，完成预算</w:t>
      </w:r>
      <w:r>
        <w:rPr>
          <w:rStyle w:val="18"/>
          <w:rFonts w:hint="eastAsia" w:ascii="仿宋" w:hAnsi="仿宋" w:eastAsia="仿宋"/>
          <w:b w:val="0"/>
          <w:bCs w:val="0"/>
          <w:color w:val="auto"/>
          <w:sz w:val="32"/>
          <w:szCs w:val="32"/>
          <w:highlight w:val="none"/>
          <w:lang w:val="en-US" w:eastAsia="zh-CN"/>
        </w:rPr>
        <w:t>100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，决算数等于预算数。</w:t>
      </w:r>
    </w:p>
    <w:p>
      <w:pPr>
        <w:ind w:firstLine="640" w:firstLineChars="200"/>
        <w:rPr>
          <w:rStyle w:val="18"/>
          <w:rFonts w:hint="eastAsia" w:ascii="仿宋" w:hAnsi="仿宋" w:eastAsia="仿宋"/>
          <w:b w:val="0"/>
          <w:bCs w:val="0"/>
          <w:color w:val="auto"/>
          <w:sz w:val="32"/>
          <w:szCs w:val="32"/>
          <w:highlight w:val="none"/>
        </w:rPr>
      </w:pPr>
      <w:r>
        <w:rPr>
          <w:rStyle w:val="18"/>
          <w:rFonts w:hint="eastAsia" w:ascii="仿宋" w:hAnsi="仿宋" w:eastAsia="仿宋"/>
          <w:b w:val="0"/>
          <w:bCs w:val="0"/>
          <w:color w:val="auto"/>
          <w:sz w:val="32"/>
          <w:szCs w:val="32"/>
          <w:highlight w:val="none"/>
          <w:lang w:val="en-US" w:eastAsia="zh-CN"/>
        </w:rPr>
        <w:t>4</w:t>
      </w:r>
      <w:r>
        <w:rPr>
          <w:rStyle w:val="18"/>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w:t>
      </w:r>
      <w:r>
        <w:rPr>
          <w:rStyle w:val="18"/>
          <w:rFonts w:hint="eastAsia" w:ascii="仿宋" w:hAnsi="仿宋" w:eastAsia="仿宋"/>
          <w:b w:val="0"/>
          <w:bCs w:val="0"/>
          <w:color w:val="auto"/>
          <w:sz w:val="32"/>
          <w:szCs w:val="32"/>
          <w:highlight w:val="none"/>
        </w:rPr>
        <w:t>（类）行政事业单位医疗（款）行政单位医疗（项）</w:t>
      </w:r>
      <w:r>
        <w:rPr>
          <w:rStyle w:val="18"/>
          <w:rFonts w:hint="eastAsia" w:ascii="仿宋" w:hAnsi="仿宋" w:eastAsia="仿宋"/>
          <w:b w:val="0"/>
          <w:bCs w:val="0"/>
          <w:color w:val="auto"/>
          <w:sz w:val="32"/>
          <w:szCs w:val="32"/>
          <w:highlight w:val="none"/>
          <w:lang w:eastAsia="zh-CN"/>
        </w:rPr>
        <w:t>（</w:t>
      </w:r>
      <w:r>
        <w:rPr>
          <w:rStyle w:val="18"/>
          <w:rFonts w:hint="eastAsia" w:ascii="仿宋" w:hAnsi="仿宋" w:eastAsia="仿宋"/>
          <w:b w:val="0"/>
          <w:bCs w:val="0"/>
          <w:color w:val="auto"/>
          <w:sz w:val="32"/>
          <w:szCs w:val="32"/>
          <w:highlight w:val="none"/>
          <w:lang w:val="en-US" w:eastAsia="zh-CN"/>
        </w:rPr>
        <w:t>2101101）</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支出决算为</w:t>
      </w:r>
      <w:r>
        <w:rPr>
          <w:rStyle w:val="18"/>
          <w:rFonts w:hint="eastAsia" w:ascii="仿宋" w:hAnsi="仿宋" w:eastAsia="仿宋"/>
          <w:b w:val="0"/>
          <w:bCs w:val="0"/>
          <w:color w:val="auto"/>
          <w:sz w:val="32"/>
          <w:szCs w:val="32"/>
          <w:highlight w:val="none"/>
          <w:lang w:val="en-US" w:eastAsia="zh-CN"/>
        </w:rPr>
        <w:t>2.42</w:t>
      </w:r>
      <w:r>
        <w:rPr>
          <w:rStyle w:val="18"/>
          <w:rFonts w:hint="eastAsia" w:ascii="仿宋" w:hAnsi="仿宋" w:eastAsia="仿宋"/>
          <w:b w:val="0"/>
          <w:bCs w:val="0"/>
          <w:color w:val="auto"/>
          <w:sz w:val="32"/>
          <w:szCs w:val="32"/>
          <w:highlight w:val="none"/>
        </w:rPr>
        <w:t>万元，完成预算</w:t>
      </w:r>
      <w:r>
        <w:rPr>
          <w:rStyle w:val="18"/>
          <w:rFonts w:hint="eastAsia" w:ascii="仿宋" w:hAnsi="仿宋" w:eastAsia="仿宋"/>
          <w:b w:val="0"/>
          <w:bCs w:val="0"/>
          <w:color w:val="auto"/>
          <w:sz w:val="32"/>
          <w:szCs w:val="32"/>
          <w:highlight w:val="none"/>
          <w:lang w:val="en-US" w:eastAsia="zh-CN"/>
        </w:rPr>
        <w:t>100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，决算数等于预算数。</w:t>
      </w:r>
    </w:p>
    <w:p>
      <w:pPr>
        <w:ind w:firstLine="640" w:firstLineChars="200"/>
        <w:rPr>
          <w:b w:val="0"/>
          <w:bCs w:val="0"/>
          <w:color w:val="auto"/>
        </w:rPr>
      </w:pPr>
      <w:r>
        <w:rPr>
          <w:rStyle w:val="18"/>
          <w:rFonts w:hint="eastAsia" w:ascii="仿宋" w:hAnsi="仿宋" w:eastAsia="仿宋"/>
          <w:b w:val="0"/>
          <w:bCs w:val="0"/>
          <w:color w:val="auto"/>
          <w:sz w:val="32"/>
          <w:szCs w:val="32"/>
          <w:highlight w:val="none"/>
          <w:lang w:val="en-US" w:eastAsia="zh-CN"/>
        </w:rPr>
        <w:t>7</w:t>
      </w:r>
      <w:r>
        <w:rPr>
          <w:rStyle w:val="18"/>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w:t>
      </w:r>
      <w:r>
        <w:rPr>
          <w:rStyle w:val="18"/>
          <w:rFonts w:hint="eastAsia" w:ascii="仿宋" w:hAnsi="仿宋" w:eastAsia="仿宋"/>
          <w:b w:val="0"/>
          <w:bCs w:val="0"/>
          <w:color w:val="auto"/>
          <w:sz w:val="32"/>
          <w:szCs w:val="32"/>
          <w:highlight w:val="none"/>
        </w:rPr>
        <w:t>（类）行政事业单位医疗（款）公务员医疗补助（项）</w:t>
      </w:r>
      <w:r>
        <w:rPr>
          <w:rStyle w:val="18"/>
          <w:rFonts w:hint="eastAsia" w:ascii="仿宋" w:hAnsi="仿宋" w:eastAsia="仿宋"/>
          <w:b w:val="0"/>
          <w:bCs w:val="0"/>
          <w:color w:val="auto"/>
          <w:sz w:val="32"/>
          <w:szCs w:val="32"/>
          <w:highlight w:val="none"/>
          <w:lang w:eastAsia="zh-CN"/>
        </w:rPr>
        <w:t>（</w:t>
      </w:r>
      <w:r>
        <w:rPr>
          <w:rStyle w:val="18"/>
          <w:rFonts w:hint="eastAsia" w:ascii="仿宋" w:hAnsi="仿宋" w:eastAsia="仿宋"/>
          <w:b w:val="0"/>
          <w:bCs w:val="0"/>
          <w:color w:val="auto"/>
          <w:sz w:val="32"/>
          <w:szCs w:val="32"/>
          <w:highlight w:val="none"/>
          <w:lang w:val="en-US" w:eastAsia="zh-CN"/>
        </w:rPr>
        <w:t>2101103）</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支出决算为</w:t>
      </w:r>
      <w:r>
        <w:rPr>
          <w:rStyle w:val="18"/>
          <w:rFonts w:hint="eastAsia" w:ascii="仿宋" w:hAnsi="仿宋" w:eastAsia="仿宋"/>
          <w:b w:val="0"/>
          <w:bCs w:val="0"/>
          <w:color w:val="auto"/>
          <w:sz w:val="32"/>
          <w:szCs w:val="32"/>
          <w:highlight w:val="none"/>
          <w:lang w:val="en-US" w:eastAsia="zh-CN"/>
        </w:rPr>
        <w:t>0.84</w:t>
      </w:r>
      <w:r>
        <w:rPr>
          <w:rStyle w:val="18"/>
          <w:rFonts w:hint="eastAsia" w:ascii="仿宋" w:hAnsi="仿宋" w:eastAsia="仿宋"/>
          <w:b w:val="0"/>
          <w:bCs w:val="0"/>
          <w:color w:val="auto"/>
          <w:sz w:val="32"/>
          <w:szCs w:val="32"/>
          <w:highlight w:val="none"/>
        </w:rPr>
        <w:t>万元，完成预算</w:t>
      </w:r>
      <w:r>
        <w:rPr>
          <w:rStyle w:val="18"/>
          <w:rFonts w:hint="eastAsia" w:ascii="仿宋" w:hAnsi="仿宋" w:eastAsia="仿宋"/>
          <w:b w:val="0"/>
          <w:bCs w:val="0"/>
          <w:color w:val="auto"/>
          <w:sz w:val="32"/>
          <w:szCs w:val="32"/>
          <w:highlight w:val="none"/>
          <w:lang w:val="en-US" w:eastAsia="zh-CN"/>
        </w:rPr>
        <w:t>100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，决算数等于预算数。</w:t>
      </w:r>
    </w:p>
    <w:p>
      <w:pPr>
        <w:pStyle w:val="12"/>
        <w:ind w:left="0" w:leftChars="0" w:firstLine="640" w:firstLineChars="200"/>
        <w:rPr>
          <w:rFonts w:ascii="仿宋" w:hAnsi="仿宋" w:eastAsia="仿宋"/>
          <w:b w:val="0"/>
          <w:bCs w:val="0"/>
          <w:color w:val="auto"/>
          <w:sz w:val="32"/>
          <w:szCs w:val="32"/>
          <w:highlight w:val="none"/>
        </w:rPr>
      </w:pPr>
      <w:r>
        <w:rPr>
          <w:rStyle w:val="18"/>
          <w:rFonts w:hint="eastAsia" w:ascii="仿宋" w:hAnsi="仿宋" w:eastAsia="仿宋"/>
          <w:b w:val="0"/>
          <w:bCs w:val="0"/>
          <w:color w:val="auto"/>
          <w:sz w:val="32"/>
          <w:szCs w:val="32"/>
          <w:highlight w:val="none"/>
          <w:lang w:val="en-US" w:eastAsia="zh-CN"/>
        </w:rPr>
        <w:t>8</w:t>
      </w:r>
      <w:r>
        <w:rPr>
          <w:rStyle w:val="18"/>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住房保障支出</w:t>
      </w:r>
      <w:r>
        <w:rPr>
          <w:rStyle w:val="18"/>
          <w:rFonts w:hint="eastAsia" w:ascii="仿宋" w:hAnsi="仿宋" w:eastAsia="仿宋"/>
          <w:b w:val="0"/>
          <w:bCs w:val="0"/>
          <w:color w:val="auto"/>
          <w:sz w:val="32"/>
          <w:szCs w:val="32"/>
          <w:highlight w:val="none"/>
        </w:rPr>
        <w:t>（类）住房改革支出（款） 住房公积金（项）</w:t>
      </w:r>
      <w:r>
        <w:rPr>
          <w:rStyle w:val="18"/>
          <w:rFonts w:hint="eastAsia" w:ascii="仿宋" w:hAnsi="仿宋" w:eastAsia="仿宋"/>
          <w:b w:val="0"/>
          <w:bCs w:val="0"/>
          <w:color w:val="auto"/>
          <w:sz w:val="32"/>
          <w:szCs w:val="32"/>
          <w:highlight w:val="none"/>
          <w:lang w:eastAsia="zh-CN"/>
        </w:rPr>
        <w:t>（</w:t>
      </w:r>
      <w:r>
        <w:rPr>
          <w:rStyle w:val="18"/>
          <w:rFonts w:hint="eastAsia" w:ascii="仿宋" w:hAnsi="仿宋" w:eastAsia="仿宋"/>
          <w:b w:val="0"/>
          <w:bCs w:val="0"/>
          <w:color w:val="auto"/>
          <w:sz w:val="32"/>
          <w:szCs w:val="32"/>
          <w:highlight w:val="none"/>
          <w:lang w:val="en-US" w:eastAsia="zh-CN"/>
        </w:rPr>
        <w:t>2210201）</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支出决算为</w:t>
      </w:r>
      <w:r>
        <w:rPr>
          <w:rStyle w:val="18"/>
          <w:rFonts w:hint="eastAsia" w:ascii="仿宋" w:hAnsi="仿宋" w:eastAsia="仿宋"/>
          <w:b w:val="0"/>
          <w:bCs w:val="0"/>
          <w:color w:val="auto"/>
          <w:sz w:val="32"/>
          <w:szCs w:val="32"/>
          <w:highlight w:val="none"/>
          <w:lang w:val="en-US" w:eastAsia="zh-CN"/>
        </w:rPr>
        <w:t>4.32</w:t>
      </w:r>
      <w:r>
        <w:rPr>
          <w:rStyle w:val="18"/>
          <w:rFonts w:hint="eastAsia" w:ascii="仿宋" w:hAnsi="仿宋" w:eastAsia="仿宋"/>
          <w:b w:val="0"/>
          <w:bCs w:val="0"/>
          <w:color w:val="auto"/>
          <w:sz w:val="32"/>
          <w:szCs w:val="32"/>
          <w:highlight w:val="none"/>
        </w:rPr>
        <w:t>万元，完成预算</w:t>
      </w:r>
      <w:r>
        <w:rPr>
          <w:rStyle w:val="18"/>
          <w:rFonts w:hint="eastAsia" w:ascii="仿宋" w:hAnsi="仿宋" w:eastAsia="仿宋"/>
          <w:b w:val="0"/>
          <w:bCs w:val="0"/>
          <w:color w:val="auto"/>
          <w:sz w:val="32"/>
          <w:szCs w:val="32"/>
          <w:highlight w:val="none"/>
          <w:lang w:val="en-US" w:eastAsia="zh-CN"/>
        </w:rPr>
        <w:t>100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，决算数等于预算数。</w:t>
      </w:r>
    </w:p>
    <w:p>
      <w:pPr>
        <w:spacing w:line="600" w:lineRule="exact"/>
        <w:ind w:firstLine="640"/>
        <w:rPr>
          <w:rFonts w:ascii="仿宋" w:hAnsi="仿宋" w:eastAsia="仿宋"/>
          <w:b w:val="0"/>
          <w:bCs w:val="0"/>
          <w:color w:val="auto"/>
          <w:sz w:val="32"/>
          <w:szCs w:val="32"/>
          <w:highlight w:val="none"/>
        </w:rPr>
      </w:pPr>
    </w:p>
    <w:p>
      <w:pPr>
        <w:tabs>
          <w:tab w:val="right" w:pos="8306"/>
        </w:tabs>
        <w:spacing w:line="600" w:lineRule="exact"/>
        <w:ind w:firstLine="640"/>
        <w:outlineLvl w:val="1"/>
        <w:rPr>
          <w:rStyle w:val="31"/>
          <w:b w:val="0"/>
          <w:bCs w:val="0"/>
          <w:color w:val="auto"/>
          <w:highlight w:val="none"/>
        </w:rPr>
      </w:pPr>
      <w:bookmarkStart w:id="34" w:name="_Toc15396608"/>
      <w:bookmarkStart w:id="35" w:name="_Toc15377214"/>
      <w:r>
        <w:rPr>
          <w:rFonts w:hint="eastAsia" w:ascii="黑体" w:eastAsia="黑体"/>
          <w:b w:val="0"/>
          <w:bCs w:val="0"/>
          <w:color w:val="auto"/>
          <w:sz w:val="32"/>
          <w:szCs w:val="32"/>
          <w:highlight w:val="none"/>
        </w:rPr>
        <w:t>六、</w:t>
      </w:r>
      <w:r>
        <w:rPr>
          <w:rFonts w:hint="eastAsia" w:ascii="黑体" w:hAnsi="黑体" w:eastAsia="黑体"/>
          <w:b w:val="0"/>
          <w:bCs w:val="0"/>
          <w:color w:val="auto"/>
          <w:sz w:val="32"/>
          <w:szCs w:val="32"/>
          <w:highlight w:val="none"/>
        </w:rPr>
        <w:t>一</w:t>
      </w:r>
      <w:r>
        <w:rPr>
          <w:rStyle w:val="31"/>
          <w:rFonts w:hint="eastAsia" w:ascii="黑体" w:hAnsi="黑体" w:eastAsia="黑体"/>
          <w:b w:val="0"/>
          <w:bCs w:val="0"/>
          <w:color w:val="auto"/>
          <w:highlight w:val="none"/>
        </w:rPr>
        <w:t>般公共预算财政拨款基本支出决算情况说明</w:t>
      </w:r>
      <w:bookmarkEnd w:id="34"/>
      <w:bookmarkEnd w:id="35"/>
      <w:r>
        <w:rPr>
          <w:rStyle w:val="31"/>
          <w:rFonts w:ascii="黑体" w:hAnsi="黑体" w:eastAsia="黑体"/>
          <w:b w:val="0"/>
          <w:bCs w:val="0"/>
          <w:color w:val="auto"/>
          <w:highlight w:val="none"/>
        </w:rPr>
        <w:tab/>
      </w:r>
    </w:p>
    <w:p>
      <w:pPr>
        <w:spacing w:line="600" w:lineRule="exact"/>
        <w:ind w:firstLine="645"/>
        <w:rPr>
          <w:rFonts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年一般公共预算财政拨款基本支出</w:t>
      </w:r>
      <w:r>
        <w:rPr>
          <w:rFonts w:hint="eastAsia" w:ascii="仿宋" w:hAnsi="仿宋" w:eastAsia="仿宋"/>
          <w:b w:val="0"/>
          <w:bCs w:val="0"/>
          <w:color w:val="auto"/>
          <w:sz w:val="32"/>
          <w:szCs w:val="32"/>
          <w:highlight w:val="none"/>
          <w:lang w:val="en-US" w:eastAsia="zh-CN"/>
        </w:rPr>
        <w:t>88.26</w:t>
      </w:r>
      <w:r>
        <w:rPr>
          <w:rFonts w:hint="eastAsia" w:ascii="仿宋" w:hAnsi="仿宋" w:eastAsia="仿宋"/>
          <w:b w:val="0"/>
          <w:bCs w:val="0"/>
          <w:color w:val="auto"/>
          <w:sz w:val="32"/>
          <w:szCs w:val="32"/>
          <w:highlight w:val="none"/>
        </w:rPr>
        <w:t>万元，其中：</w:t>
      </w:r>
    </w:p>
    <w:p>
      <w:pPr>
        <w:spacing w:line="600" w:lineRule="exact"/>
        <w:ind w:firstLine="645"/>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人员经费</w:t>
      </w:r>
      <w:r>
        <w:rPr>
          <w:rFonts w:hint="eastAsia" w:ascii="仿宋" w:hAnsi="仿宋" w:eastAsia="仿宋"/>
          <w:b w:val="0"/>
          <w:bCs w:val="0"/>
          <w:color w:val="auto"/>
          <w:sz w:val="32"/>
          <w:szCs w:val="32"/>
          <w:highlight w:val="none"/>
          <w:lang w:val="en-US" w:eastAsia="zh-CN"/>
        </w:rPr>
        <w:t>77.58</w:t>
      </w:r>
      <w:r>
        <w:rPr>
          <w:rFonts w:hint="eastAsia" w:ascii="仿宋" w:hAnsi="仿宋" w:eastAsia="仿宋"/>
          <w:b w:val="0"/>
          <w:bCs w:val="0"/>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b w:val="0"/>
          <w:bCs w:val="0"/>
          <w:color w:val="auto"/>
          <w:sz w:val="32"/>
          <w:szCs w:val="32"/>
          <w:highlight w:val="none"/>
        </w:rPr>
        <w:br w:type="textWrapping"/>
      </w:r>
      <w:r>
        <w:rPr>
          <w:rFonts w:hint="eastAsia" w:ascii="仿宋" w:hAnsi="仿宋" w:eastAsia="仿宋"/>
          <w:b w:val="0"/>
          <w:bCs w:val="0"/>
          <w:color w:val="auto"/>
          <w:sz w:val="32"/>
          <w:szCs w:val="32"/>
          <w:highlight w:val="none"/>
        </w:rPr>
        <w:t>　　公用经费</w:t>
      </w:r>
      <w:r>
        <w:rPr>
          <w:rFonts w:hint="eastAsia" w:ascii="仿宋" w:hAnsi="仿宋" w:eastAsia="仿宋"/>
          <w:b w:val="0"/>
          <w:bCs w:val="0"/>
          <w:color w:val="auto"/>
          <w:sz w:val="32"/>
          <w:szCs w:val="32"/>
          <w:highlight w:val="none"/>
          <w:lang w:val="en-US" w:eastAsia="zh-CN"/>
        </w:rPr>
        <w:t>10.68</w:t>
      </w:r>
      <w:r>
        <w:rPr>
          <w:rFonts w:hint="eastAsia" w:ascii="仿宋" w:hAnsi="仿宋" w:eastAsia="仿宋"/>
          <w:b w:val="0"/>
          <w:bCs w:val="0"/>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（注：数据来源于财决</w:t>
      </w:r>
      <w:r>
        <w:rPr>
          <w:rFonts w:ascii="仿宋" w:hAnsi="仿宋" w:eastAsia="仿宋"/>
          <w:b w:val="0"/>
          <w:bCs w:val="0"/>
          <w:color w:val="auto"/>
          <w:sz w:val="32"/>
          <w:szCs w:val="32"/>
          <w:highlight w:val="none"/>
        </w:rPr>
        <w:t>0</w:t>
      </w:r>
      <w:r>
        <w:rPr>
          <w:rFonts w:hint="eastAsia" w:ascii="仿宋" w:hAnsi="仿宋" w:eastAsia="仿宋"/>
          <w:b w:val="0"/>
          <w:bCs w:val="0"/>
          <w:color w:val="auto"/>
          <w:sz w:val="32"/>
          <w:szCs w:val="32"/>
          <w:highlight w:val="none"/>
        </w:rPr>
        <w:t>7表</w:t>
      </w:r>
      <w:r>
        <w:rPr>
          <w:rFonts w:hint="eastAsia" w:ascii="仿宋" w:hAnsi="仿宋" w:eastAsia="仿宋"/>
          <w:b w:val="0"/>
          <w:bCs w:val="0"/>
          <w:color w:val="auto"/>
          <w:sz w:val="32"/>
          <w:szCs w:val="32"/>
          <w:highlight w:val="none"/>
          <w:lang w:eastAsia="zh-CN"/>
        </w:rPr>
        <w:t>和财决</w:t>
      </w:r>
      <w:r>
        <w:rPr>
          <w:rFonts w:hint="eastAsia" w:ascii="仿宋" w:hAnsi="仿宋" w:eastAsia="仿宋"/>
          <w:b w:val="0"/>
          <w:bCs w:val="0"/>
          <w:color w:val="auto"/>
          <w:sz w:val="32"/>
          <w:szCs w:val="32"/>
          <w:highlight w:val="none"/>
          <w:lang w:val="en-US" w:eastAsia="zh-CN"/>
        </w:rPr>
        <w:t>08-1表</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仅罗列</w:t>
      </w:r>
      <w:r>
        <w:rPr>
          <w:rFonts w:hint="eastAsia" w:ascii="仿宋" w:hAnsi="仿宋" w:eastAsia="仿宋"/>
          <w:b w:val="0"/>
          <w:bCs w:val="0"/>
          <w:color w:val="auto"/>
          <w:sz w:val="32"/>
          <w:szCs w:val="32"/>
          <w:highlight w:val="none"/>
        </w:rPr>
        <w:t>本部门实际支出</w:t>
      </w:r>
      <w:r>
        <w:rPr>
          <w:rFonts w:hint="eastAsia" w:ascii="仿宋" w:hAnsi="仿宋" w:eastAsia="仿宋"/>
          <w:b w:val="0"/>
          <w:bCs w:val="0"/>
          <w:color w:val="auto"/>
          <w:sz w:val="32"/>
          <w:szCs w:val="32"/>
          <w:highlight w:val="none"/>
          <w:lang w:eastAsia="zh-CN"/>
        </w:rPr>
        <w:t>涉及的</w:t>
      </w:r>
      <w:r>
        <w:rPr>
          <w:rFonts w:hint="eastAsia" w:ascii="仿宋" w:hAnsi="仿宋" w:eastAsia="仿宋"/>
          <w:b w:val="0"/>
          <w:bCs w:val="0"/>
          <w:color w:val="auto"/>
          <w:sz w:val="32"/>
          <w:szCs w:val="32"/>
          <w:highlight w:val="none"/>
        </w:rPr>
        <w:t>经济分类科目。）</w:t>
      </w:r>
    </w:p>
    <w:p>
      <w:pPr>
        <w:spacing w:line="600" w:lineRule="exact"/>
        <w:ind w:firstLine="640"/>
        <w:outlineLvl w:val="1"/>
        <w:rPr>
          <w:rStyle w:val="31"/>
          <w:rFonts w:ascii="黑体" w:hAnsi="黑体" w:eastAsia="黑体"/>
          <w:b w:val="0"/>
          <w:bCs w:val="0"/>
          <w:color w:val="auto"/>
          <w:highlight w:val="none"/>
        </w:rPr>
      </w:pPr>
      <w:bookmarkStart w:id="36" w:name="_Toc15396609"/>
      <w:bookmarkStart w:id="37" w:name="_Toc15377215"/>
      <w:r>
        <w:rPr>
          <w:rFonts w:hint="eastAsia" w:ascii="黑体" w:eastAsia="黑体"/>
          <w:b w:val="0"/>
          <w:bCs w:val="0"/>
          <w:color w:val="auto"/>
          <w:sz w:val="32"/>
          <w:szCs w:val="32"/>
          <w:highlight w:val="none"/>
        </w:rPr>
        <w:t>七、</w:t>
      </w:r>
      <w:r>
        <w:rPr>
          <w:rStyle w:val="31"/>
          <w:rFonts w:hint="eastAsia" w:ascii="黑体" w:hAnsi="黑体" w:eastAsia="黑体"/>
          <w:b w:val="0"/>
          <w:bCs w:val="0"/>
          <w:color w:val="auto"/>
          <w:highlight w:val="none"/>
        </w:rPr>
        <w:t>财政拨款“三公”经费支出决算情况说明</w:t>
      </w:r>
      <w:bookmarkEnd w:id="36"/>
      <w:bookmarkEnd w:id="37"/>
    </w:p>
    <w:p>
      <w:pPr>
        <w:spacing w:line="600" w:lineRule="exact"/>
        <w:ind w:firstLine="640"/>
        <w:outlineLvl w:val="2"/>
        <w:rPr>
          <w:rFonts w:ascii="仿宋" w:hAnsi="仿宋" w:eastAsia="仿宋"/>
          <w:b w:val="0"/>
          <w:bCs w:val="0"/>
          <w:color w:val="auto"/>
          <w:sz w:val="32"/>
          <w:szCs w:val="32"/>
          <w:highlight w:val="none"/>
        </w:rPr>
      </w:pPr>
      <w:bookmarkStart w:id="38" w:name="_Toc15377216"/>
      <w:r>
        <w:rPr>
          <w:rFonts w:hint="eastAsia" w:ascii="仿宋" w:hAnsi="仿宋" w:eastAsia="仿宋"/>
          <w:b w:val="0"/>
          <w:bCs w:val="0"/>
          <w:color w:val="auto"/>
          <w:sz w:val="32"/>
          <w:szCs w:val="32"/>
          <w:highlight w:val="none"/>
        </w:rPr>
        <w:t>（一）“三公”经费财政拨款支出决算总体情况说明</w:t>
      </w:r>
      <w:bookmarkEnd w:id="38"/>
    </w:p>
    <w:p>
      <w:pPr>
        <w:spacing w:line="600" w:lineRule="exact"/>
        <w:ind w:firstLine="640"/>
        <w:rPr>
          <w:rFonts w:ascii="仿宋" w:hAnsi="仿宋" w:eastAsia="仿宋"/>
          <w:b w:val="0"/>
          <w:bCs w:val="0"/>
          <w:color w:val="auto"/>
          <w:sz w:val="32"/>
          <w:szCs w:val="32"/>
          <w:highlight w:val="none"/>
        </w:rPr>
      </w:pPr>
      <w:bookmarkStart w:id="39" w:name="_Toc15377217"/>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年“三公”经费财政拨款支出决算为</w:t>
      </w:r>
      <w:r>
        <w:rPr>
          <w:rFonts w:hint="eastAsia" w:ascii="仿宋" w:hAnsi="仿宋" w:eastAsia="仿宋"/>
          <w:b w:val="0"/>
          <w:bCs w:val="0"/>
          <w:color w:val="auto"/>
          <w:sz w:val="32"/>
          <w:szCs w:val="32"/>
          <w:highlight w:val="none"/>
          <w:lang w:val="en-US" w:eastAsia="zh-CN"/>
        </w:rPr>
        <w:t>1.6</w:t>
      </w:r>
      <w:r>
        <w:rPr>
          <w:rFonts w:hint="eastAsia" w:ascii="仿宋" w:hAnsi="仿宋" w:eastAsia="仿宋"/>
          <w:b w:val="0"/>
          <w:bCs w:val="0"/>
          <w:color w:val="auto"/>
          <w:sz w:val="32"/>
          <w:szCs w:val="32"/>
          <w:highlight w:val="none"/>
        </w:rPr>
        <w:t>万元，完成预算</w:t>
      </w:r>
      <w:r>
        <w:rPr>
          <w:rFonts w:hint="eastAsia" w:ascii="仿宋" w:hAnsi="仿宋" w:eastAsia="仿宋"/>
          <w:b w:val="0"/>
          <w:bCs w:val="0"/>
          <w:color w:val="auto"/>
          <w:sz w:val="32"/>
          <w:szCs w:val="32"/>
          <w:highlight w:val="none"/>
          <w:lang w:val="en-US" w:eastAsia="zh-CN"/>
        </w:rPr>
        <w:t>100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较上年</w:t>
      </w:r>
      <w:r>
        <w:rPr>
          <w:rFonts w:hint="eastAsia" w:ascii="仿宋" w:hAnsi="仿宋" w:eastAsia="仿宋"/>
          <w:b w:val="0"/>
          <w:bCs w:val="0"/>
          <w:color w:val="auto"/>
          <w:sz w:val="32"/>
          <w:szCs w:val="32"/>
          <w:highlight w:val="none"/>
          <w:lang w:val="en-US" w:eastAsia="zh-CN"/>
        </w:rPr>
        <w:t>1.78万元，减少0.18万元，下降10.11%。</w:t>
      </w:r>
      <w:r>
        <w:rPr>
          <w:rFonts w:hint="eastAsia" w:ascii="仿宋" w:hAnsi="仿宋" w:eastAsia="仿宋"/>
          <w:b w:val="0"/>
          <w:bCs w:val="0"/>
          <w:color w:val="auto"/>
          <w:sz w:val="32"/>
          <w:szCs w:val="32"/>
          <w:highlight w:val="none"/>
        </w:rPr>
        <w:t>决算与预算数持平。</w:t>
      </w:r>
    </w:p>
    <w:p>
      <w:pPr>
        <w:spacing w:line="600" w:lineRule="exact"/>
        <w:ind w:firstLine="640"/>
        <w:outlineLvl w:val="2"/>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b w:val="0"/>
          <w:bCs w:val="0"/>
          <w:color w:val="auto"/>
          <w:sz w:val="32"/>
          <w:szCs w:val="32"/>
          <w:highlight w:val="none"/>
        </w:rPr>
      </w:pPr>
      <w:bookmarkStart w:id="40" w:name="_Toc15396610"/>
      <w:bookmarkStart w:id="41" w:name="_Toc15377218"/>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年“三公”经费财政拨款支出决算中，因公出国（境）费支出决算</w:t>
      </w:r>
      <w:r>
        <w:rPr>
          <w:rFonts w:hint="eastAsia" w:ascii="仿宋" w:hAnsi="仿宋" w:eastAsia="仿宋"/>
          <w:b w:val="0"/>
          <w:bCs w:val="0"/>
          <w:color w:val="auto"/>
          <w:sz w:val="32"/>
          <w:szCs w:val="32"/>
          <w:highlight w:val="none"/>
          <w:lang w:val="en-US" w:eastAsia="zh-CN"/>
        </w:rPr>
        <w:t>0</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；公务用车购置及运行维护费支出决算</w:t>
      </w:r>
      <w:r>
        <w:rPr>
          <w:rFonts w:hint="eastAsia" w:ascii="仿宋" w:hAnsi="仿宋" w:eastAsia="仿宋"/>
          <w:b w:val="0"/>
          <w:bCs w:val="0"/>
          <w:color w:val="auto"/>
          <w:sz w:val="32"/>
          <w:szCs w:val="32"/>
          <w:highlight w:val="none"/>
          <w:lang w:val="en-US" w:eastAsia="zh-CN"/>
        </w:rPr>
        <w:t>0</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；公务接待费支出决算</w:t>
      </w:r>
      <w:r>
        <w:rPr>
          <w:rFonts w:hint="eastAsia" w:ascii="仿宋" w:hAnsi="仿宋" w:eastAsia="仿宋"/>
          <w:b w:val="0"/>
          <w:bCs w:val="0"/>
          <w:color w:val="auto"/>
          <w:sz w:val="32"/>
          <w:szCs w:val="32"/>
          <w:highlight w:val="none"/>
          <w:lang w:val="en-US" w:eastAsia="zh-CN"/>
        </w:rPr>
        <w:t>1.6</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100</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。具体情况如下：</w:t>
      </w:r>
    </w:p>
    <w:p>
      <w:pPr>
        <w:pStyle w:val="12"/>
        <w:rPr>
          <w:rFonts w:hint="eastAsia" w:ascii="仿宋" w:hAnsi="仿宋" w:eastAsia="仿宋"/>
          <w:b w:val="0"/>
          <w:bCs w:val="0"/>
          <w:color w:val="auto"/>
          <w:sz w:val="32"/>
          <w:szCs w:val="32"/>
          <w:highlight w:val="none"/>
        </w:rPr>
      </w:pPr>
    </w:p>
    <w:p>
      <w:pPr>
        <w:rPr>
          <w:rFonts w:hint="eastAsia" w:eastAsia="宋体"/>
          <w:b w:val="0"/>
          <w:bCs w:val="0"/>
          <w:color w:val="auto"/>
          <w:lang w:eastAsia="zh-CN"/>
        </w:rPr>
      </w:pPr>
      <w:r>
        <w:rPr>
          <w:rFonts w:hint="eastAsia" w:eastAsia="宋体"/>
          <w:b w:val="0"/>
          <w:bCs w:val="0"/>
          <w:color w:val="auto"/>
          <w:lang w:eastAsia="zh-CN"/>
        </w:rPr>
        <w:drawing>
          <wp:inline distT="0" distB="0" distL="114300" distR="114300">
            <wp:extent cx="5080000" cy="3810000"/>
            <wp:effectExtent l="4445" t="4445" r="5715" b="107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（图7：“三公”经费财政拨款支出结构）（饼状图）</w:t>
      </w:r>
    </w:p>
    <w:p>
      <w:pPr>
        <w:spacing w:line="600" w:lineRule="exact"/>
        <w:ind w:firstLine="640"/>
        <w:rPr>
          <w:rFonts w:hint="eastAsia"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1.</w:t>
      </w:r>
      <w:r>
        <w:rPr>
          <w:rFonts w:hint="eastAsia" w:ascii="仿宋_GB2312" w:eastAsia="仿宋_GB2312"/>
          <w:b w:val="0"/>
          <w:bCs w:val="0"/>
          <w:color w:val="auto"/>
          <w:sz w:val="32"/>
          <w:szCs w:val="32"/>
          <w:highlight w:val="none"/>
        </w:rPr>
        <w:t>因公出国（境）经费支出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Style w:val="18"/>
          <w:rFonts w:hint="eastAsia" w:ascii="仿宋" w:hAnsi="仿宋" w:eastAsia="仿宋"/>
          <w:b w:val="0"/>
          <w:bCs w:val="0"/>
          <w:color w:val="auto"/>
          <w:sz w:val="32"/>
          <w:szCs w:val="32"/>
          <w:highlight w:val="none"/>
        </w:rPr>
        <w:t>完成预算</w:t>
      </w:r>
      <w:r>
        <w:rPr>
          <w:rStyle w:val="18"/>
          <w:rFonts w:hint="eastAsia" w:ascii="仿宋" w:hAnsi="仿宋" w:eastAsia="仿宋"/>
          <w:b w:val="0"/>
          <w:bCs w:val="0"/>
          <w:color w:val="auto"/>
          <w:sz w:val="32"/>
          <w:szCs w:val="32"/>
          <w:highlight w:val="none"/>
          <w:lang w:val="en-US" w:eastAsia="zh-CN"/>
        </w:rPr>
        <w:t>100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w:t>
      </w:r>
      <w:r>
        <w:rPr>
          <w:rFonts w:hint="eastAsia" w:ascii="仿宋_GB2312" w:eastAsia="仿宋_GB2312"/>
          <w:b w:val="0"/>
          <w:bCs w:val="0"/>
          <w:color w:val="auto"/>
          <w:sz w:val="32"/>
          <w:szCs w:val="32"/>
          <w:highlight w:val="none"/>
        </w:rPr>
        <w:t>全年安排因公出国（境）团组</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次，出国（境）</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人。因公出国（境）支出决算比</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21</w:t>
      </w:r>
      <w:r>
        <w:rPr>
          <w:rFonts w:hint="eastAsia" w:ascii="仿宋_GB2312" w:eastAsia="仿宋_GB2312"/>
          <w:b w:val="0"/>
          <w:bCs w:val="0"/>
          <w:color w:val="auto"/>
          <w:sz w:val="32"/>
          <w:szCs w:val="32"/>
          <w:highlight w:val="none"/>
        </w:rPr>
        <w:t>年</w:t>
      </w:r>
      <w:r>
        <w:rPr>
          <w:rFonts w:hint="eastAsia" w:ascii="仿宋_GB2312" w:eastAsia="仿宋_GB2312"/>
          <w:b w:val="0"/>
          <w:bCs w:val="0"/>
          <w:color w:val="auto"/>
          <w:sz w:val="32"/>
          <w:szCs w:val="32"/>
          <w:highlight w:val="none"/>
          <w:lang w:val="en-US" w:eastAsia="zh-CN"/>
        </w:rPr>
        <w:t>持平</w:t>
      </w:r>
      <w:r>
        <w:rPr>
          <w:rFonts w:hint="eastAsia" w:ascii="仿宋_GB2312" w:eastAsia="仿宋_GB2312"/>
          <w:b w:val="0"/>
          <w:bCs w:val="0"/>
          <w:color w:val="auto"/>
          <w:sz w:val="32"/>
          <w:szCs w:val="32"/>
          <w:highlight w:val="none"/>
        </w:rPr>
        <w:t>。主要原因是</w:t>
      </w:r>
      <w:r>
        <w:rPr>
          <w:rFonts w:hint="eastAsia" w:ascii="仿宋_GB2312" w:eastAsia="仿宋_GB2312"/>
          <w:b w:val="0"/>
          <w:bCs w:val="0"/>
          <w:color w:val="auto"/>
          <w:sz w:val="32"/>
          <w:szCs w:val="32"/>
          <w:highlight w:val="none"/>
          <w:lang w:val="en-US" w:eastAsia="zh-CN"/>
        </w:rPr>
        <w:t>未发生因公出国（境）经费开支。</w:t>
      </w:r>
    </w:p>
    <w:p>
      <w:pPr>
        <w:spacing w:line="600" w:lineRule="exact"/>
        <w:ind w:firstLine="64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2.</w:t>
      </w:r>
      <w:r>
        <w:rPr>
          <w:rFonts w:hint="eastAsia" w:ascii="仿宋_GB2312" w:eastAsia="仿宋_GB2312"/>
          <w:b w:val="0"/>
          <w:bCs w:val="0"/>
          <w:color w:val="auto"/>
          <w:sz w:val="32"/>
          <w:szCs w:val="32"/>
          <w:highlight w:val="none"/>
        </w:rPr>
        <w:t>公务用车购置及运行维护费支出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Style w:val="18"/>
          <w:rFonts w:hint="eastAsia" w:ascii="仿宋" w:hAnsi="仿宋" w:eastAsia="仿宋"/>
          <w:b w:val="0"/>
          <w:bCs w:val="0"/>
          <w:color w:val="auto"/>
          <w:sz w:val="32"/>
          <w:szCs w:val="32"/>
          <w:highlight w:val="none"/>
        </w:rPr>
        <w:t>完成预算</w:t>
      </w:r>
      <w:r>
        <w:rPr>
          <w:rStyle w:val="18"/>
          <w:rFonts w:hint="eastAsia" w:ascii="仿宋" w:hAnsi="仿宋" w:eastAsia="仿宋"/>
          <w:b w:val="0"/>
          <w:bCs w:val="0"/>
          <w:color w:val="auto"/>
          <w:sz w:val="32"/>
          <w:szCs w:val="32"/>
          <w:highlight w:val="none"/>
          <w:lang w:val="en-US" w:eastAsia="zh-CN"/>
        </w:rPr>
        <w:t>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w:t>
      </w:r>
      <w:r>
        <w:rPr>
          <w:rFonts w:hint="eastAsia" w:ascii="仿宋_GB2312" w:eastAsia="仿宋_GB2312"/>
          <w:b w:val="0"/>
          <w:bCs w:val="0"/>
          <w:color w:val="auto"/>
          <w:sz w:val="32"/>
          <w:szCs w:val="32"/>
          <w:highlight w:val="none"/>
        </w:rPr>
        <w:t>公务用车购置及运行维护费支出决算比</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21</w:t>
      </w:r>
      <w:r>
        <w:rPr>
          <w:rFonts w:hint="eastAsia" w:ascii="仿宋_GB2312" w:eastAsia="仿宋_GB2312"/>
          <w:b w:val="0"/>
          <w:bCs w:val="0"/>
          <w:color w:val="auto"/>
          <w:sz w:val="32"/>
          <w:szCs w:val="32"/>
          <w:highlight w:val="none"/>
        </w:rPr>
        <w:t>年</w:t>
      </w:r>
      <w:r>
        <w:rPr>
          <w:rFonts w:hint="eastAsia" w:ascii="仿宋_GB2312" w:eastAsia="仿宋_GB2312"/>
          <w:b w:val="0"/>
          <w:bCs w:val="0"/>
          <w:color w:val="auto"/>
          <w:sz w:val="32"/>
          <w:szCs w:val="32"/>
          <w:highlight w:val="none"/>
          <w:lang w:val="en-US" w:eastAsia="zh-CN"/>
        </w:rPr>
        <w:t>持 平</w:t>
      </w:r>
      <w:r>
        <w:rPr>
          <w:rFonts w:hint="eastAsia" w:ascii="仿宋_GB2312" w:eastAsia="仿宋_GB2312"/>
          <w:b w:val="0"/>
          <w:bCs w:val="0"/>
          <w:color w:val="auto"/>
          <w:sz w:val="32"/>
          <w:szCs w:val="32"/>
          <w:highlight w:val="none"/>
        </w:rPr>
        <w:t>。主要原因是</w:t>
      </w:r>
      <w:r>
        <w:rPr>
          <w:rFonts w:hint="eastAsia" w:ascii="仿宋_GB2312" w:eastAsia="仿宋_GB2312"/>
          <w:b w:val="0"/>
          <w:bCs w:val="0"/>
          <w:color w:val="auto"/>
          <w:sz w:val="32"/>
          <w:szCs w:val="32"/>
          <w:highlight w:val="none"/>
          <w:lang w:val="en-US" w:eastAsia="zh-CN"/>
        </w:rPr>
        <w:t>未购置公务用车</w:t>
      </w:r>
      <w:r>
        <w:rPr>
          <w:rFonts w:hint="eastAsia" w:ascii="仿宋_GB2312" w:eastAsia="仿宋_GB2312"/>
          <w:b w:val="0"/>
          <w:bCs w:val="0"/>
          <w:color w:val="auto"/>
          <w:sz w:val="32"/>
          <w:szCs w:val="32"/>
          <w:highlight w:val="none"/>
        </w:rPr>
        <w:t>。</w:t>
      </w:r>
    </w:p>
    <w:p>
      <w:pPr>
        <w:spacing w:line="600" w:lineRule="exact"/>
        <w:ind w:firstLine="640" w:firstLineChars="200"/>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其中：公务用车购置支出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万元。全年按规定更新购置公务用车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辆，其中：轿车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辆、金额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万元，越野车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辆、金额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万元，载客汽车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辆、金额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万元。截至</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w:t>
      </w:r>
      <w:r>
        <w:rPr>
          <w:rFonts w:ascii="仿宋_GB2312" w:eastAsia="仿宋_GB2312"/>
          <w:b w:val="0"/>
          <w:bCs w:val="0"/>
          <w:color w:val="auto"/>
          <w:sz w:val="32"/>
          <w:szCs w:val="32"/>
          <w:highlight w:val="none"/>
        </w:rPr>
        <w:t>12</w:t>
      </w:r>
      <w:r>
        <w:rPr>
          <w:rFonts w:hint="eastAsia" w:ascii="仿宋_GB2312" w:eastAsia="仿宋_GB2312"/>
          <w:b w:val="0"/>
          <w:bCs w:val="0"/>
          <w:color w:val="auto"/>
          <w:sz w:val="32"/>
          <w:szCs w:val="32"/>
          <w:highlight w:val="none"/>
        </w:rPr>
        <w:t>月底，单位共有公务用车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辆，其中：轿车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辆、越野车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辆、载客汽车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w:t>
      </w:r>
    </w:p>
    <w:p>
      <w:pPr>
        <w:spacing w:line="600" w:lineRule="exact"/>
        <w:ind w:firstLine="640"/>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公务用车运行维护费支出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p>
    <w:p>
      <w:pPr>
        <w:numPr>
          <w:ilvl w:val="0"/>
          <w:numId w:val="2"/>
        </w:numPr>
        <w:spacing w:line="600" w:lineRule="exact"/>
        <w:ind w:firstLine="640"/>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公务接待费支出</w:t>
      </w:r>
      <w:r>
        <w:rPr>
          <w:rFonts w:hint="eastAsia" w:ascii="仿宋_GB2312" w:eastAsia="仿宋_GB2312"/>
          <w:b w:val="0"/>
          <w:bCs w:val="0"/>
          <w:color w:val="auto"/>
          <w:sz w:val="32"/>
          <w:szCs w:val="32"/>
          <w:highlight w:val="none"/>
          <w:lang w:val="en-US" w:eastAsia="zh-CN"/>
        </w:rPr>
        <w:t>1.6</w:t>
      </w:r>
      <w:r>
        <w:rPr>
          <w:rFonts w:hint="eastAsia" w:ascii="仿宋_GB2312" w:eastAsia="仿宋_GB2312"/>
          <w:b w:val="0"/>
          <w:bCs w:val="0"/>
          <w:color w:val="auto"/>
          <w:sz w:val="32"/>
          <w:szCs w:val="32"/>
          <w:highlight w:val="none"/>
        </w:rPr>
        <w:t>万元，</w:t>
      </w:r>
      <w:r>
        <w:rPr>
          <w:rStyle w:val="18"/>
          <w:rFonts w:hint="eastAsia" w:ascii="仿宋" w:hAnsi="仿宋" w:eastAsia="仿宋"/>
          <w:b w:val="0"/>
          <w:bCs w:val="0"/>
          <w:color w:val="auto"/>
          <w:sz w:val="32"/>
          <w:szCs w:val="32"/>
          <w:highlight w:val="none"/>
        </w:rPr>
        <w:t>完成预算</w:t>
      </w:r>
      <w:r>
        <w:rPr>
          <w:rStyle w:val="18"/>
          <w:rFonts w:hint="eastAsia" w:ascii="仿宋" w:hAnsi="仿宋" w:eastAsia="仿宋"/>
          <w:b w:val="0"/>
          <w:bCs w:val="0"/>
          <w:color w:val="auto"/>
          <w:sz w:val="32"/>
          <w:szCs w:val="32"/>
          <w:highlight w:val="none"/>
          <w:lang w:val="en-US" w:eastAsia="zh-CN"/>
        </w:rPr>
        <w:t>100</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w:t>
      </w:r>
      <w:r>
        <w:rPr>
          <w:rFonts w:hint="eastAsia" w:ascii="仿宋_GB2312" w:eastAsia="仿宋_GB2312"/>
          <w:b w:val="0"/>
          <w:bCs w:val="0"/>
          <w:color w:val="auto"/>
          <w:sz w:val="32"/>
          <w:szCs w:val="32"/>
          <w:highlight w:val="none"/>
        </w:rPr>
        <w:t>公务接待费支出决算比</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21</w:t>
      </w:r>
      <w:r>
        <w:rPr>
          <w:rFonts w:hint="eastAsia" w:ascii="仿宋_GB2312" w:eastAsia="仿宋_GB2312"/>
          <w:b w:val="0"/>
          <w:bCs w:val="0"/>
          <w:color w:val="auto"/>
          <w:sz w:val="32"/>
          <w:szCs w:val="32"/>
          <w:highlight w:val="none"/>
        </w:rPr>
        <w:t>年减少</w:t>
      </w:r>
      <w:r>
        <w:rPr>
          <w:rFonts w:hint="eastAsia" w:ascii="仿宋_GB2312" w:eastAsia="仿宋_GB2312"/>
          <w:b w:val="0"/>
          <w:bCs w:val="0"/>
          <w:color w:val="auto"/>
          <w:sz w:val="32"/>
          <w:szCs w:val="32"/>
          <w:highlight w:val="none"/>
          <w:lang w:val="en-US" w:eastAsia="zh-CN"/>
        </w:rPr>
        <w:t>0.18</w:t>
      </w:r>
      <w:r>
        <w:rPr>
          <w:rFonts w:hint="eastAsia" w:ascii="仿宋_GB2312" w:eastAsia="仿宋_GB2312"/>
          <w:b w:val="0"/>
          <w:bCs w:val="0"/>
          <w:color w:val="auto"/>
          <w:sz w:val="32"/>
          <w:szCs w:val="32"/>
          <w:highlight w:val="none"/>
        </w:rPr>
        <w:t>万元，下降</w:t>
      </w:r>
      <w:r>
        <w:rPr>
          <w:rFonts w:hint="eastAsia" w:ascii="仿宋_GB2312" w:eastAsia="仿宋_GB2312"/>
          <w:b w:val="0"/>
          <w:bCs w:val="0"/>
          <w:color w:val="auto"/>
          <w:sz w:val="32"/>
          <w:szCs w:val="32"/>
          <w:highlight w:val="none"/>
          <w:lang w:val="en-US" w:eastAsia="zh-CN"/>
        </w:rPr>
        <w:t>10.11</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w:t>
      </w:r>
    </w:p>
    <w:p>
      <w:pPr>
        <w:numPr>
          <w:ilvl w:val="0"/>
          <w:numId w:val="0"/>
        </w:numPr>
        <w:spacing w:line="600" w:lineRule="exact"/>
        <w:ind w:firstLine="640" w:firstLineChars="200"/>
        <w:rPr>
          <w:rFonts w:ascii="仿宋_GB2312" w:eastAsia="仿宋_GB2312"/>
          <w:b w:val="0"/>
          <w:bCs w:val="0"/>
          <w:color w:val="auto"/>
          <w:sz w:val="32"/>
          <w:szCs w:val="32"/>
          <w:highlight w:val="none"/>
        </w:rPr>
      </w:pPr>
      <w:r>
        <w:rPr>
          <w:rFonts w:hint="eastAsia" w:ascii="仿宋" w:hAnsi="仿宋" w:eastAsia="仿宋"/>
          <w:b w:val="0"/>
          <w:bCs w:val="0"/>
          <w:color w:val="auto"/>
          <w:sz w:val="32"/>
          <w:szCs w:val="32"/>
          <w:highlight w:val="none"/>
        </w:rPr>
        <w:t>国内公务接待支出</w:t>
      </w:r>
      <w:r>
        <w:rPr>
          <w:rFonts w:hint="eastAsia" w:ascii="仿宋" w:hAnsi="仿宋" w:eastAsia="仿宋"/>
          <w:b w:val="0"/>
          <w:bCs w:val="0"/>
          <w:color w:val="auto"/>
          <w:sz w:val="32"/>
          <w:szCs w:val="32"/>
          <w:highlight w:val="none"/>
          <w:lang w:val="en-US" w:eastAsia="zh-CN"/>
        </w:rPr>
        <w:t>1.6</w:t>
      </w:r>
      <w:r>
        <w:rPr>
          <w:rFonts w:hint="eastAsia" w:ascii="仿宋_GB2312" w:eastAsia="仿宋_GB2312"/>
          <w:b w:val="0"/>
          <w:bCs w:val="0"/>
          <w:color w:val="auto"/>
          <w:sz w:val="32"/>
          <w:szCs w:val="32"/>
          <w:highlight w:val="none"/>
        </w:rPr>
        <w:t>万元，主要用于执行公务、开展业务活动开支的交通费、住宿费、用餐费等。国内公务接待</w:t>
      </w:r>
      <w:r>
        <w:rPr>
          <w:rFonts w:hint="eastAsia" w:ascii="仿宋_GB2312" w:eastAsia="仿宋_GB2312"/>
          <w:b w:val="0"/>
          <w:bCs w:val="0"/>
          <w:color w:val="auto"/>
          <w:sz w:val="32"/>
          <w:szCs w:val="32"/>
          <w:highlight w:val="none"/>
          <w:lang w:val="en-US" w:eastAsia="zh-CN"/>
        </w:rPr>
        <w:t>23</w:t>
      </w:r>
      <w:r>
        <w:rPr>
          <w:rFonts w:hint="eastAsia" w:ascii="仿宋_GB2312" w:eastAsia="仿宋_GB2312"/>
          <w:b w:val="0"/>
          <w:bCs w:val="0"/>
          <w:color w:val="auto"/>
          <w:sz w:val="32"/>
          <w:szCs w:val="32"/>
          <w:highlight w:val="none"/>
        </w:rPr>
        <w:t>批次，</w:t>
      </w:r>
      <w:r>
        <w:rPr>
          <w:rFonts w:hint="eastAsia" w:ascii="仿宋_GB2312" w:eastAsia="仿宋_GB2312"/>
          <w:b w:val="0"/>
          <w:bCs w:val="0"/>
          <w:color w:val="auto"/>
          <w:sz w:val="32"/>
          <w:szCs w:val="32"/>
          <w:highlight w:val="none"/>
          <w:lang w:val="en-US" w:eastAsia="zh-CN"/>
        </w:rPr>
        <w:t>165</w:t>
      </w:r>
      <w:r>
        <w:rPr>
          <w:rFonts w:hint="eastAsia" w:ascii="仿宋_GB2312" w:eastAsia="仿宋_GB2312"/>
          <w:b w:val="0"/>
          <w:bCs w:val="0"/>
          <w:color w:val="auto"/>
          <w:sz w:val="32"/>
          <w:szCs w:val="32"/>
          <w:highlight w:val="none"/>
        </w:rPr>
        <w:t>人次（不包括陪同人员），共计支出</w:t>
      </w:r>
      <w:r>
        <w:rPr>
          <w:rFonts w:hint="eastAsia" w:ascii="仿宋_GB2312" w:eastAsia="仿宋_GB2312"/>
          <w:b w:val="0"/>
          <w:bCs w:val="0"/>
          <w:color w:val="auto"/>
          <w:sz w:val="32"/>
          <w:szCs w:val="32"/>
          <w:highlight w:val="none"/>
          <w:lang w:val="en-US" w:eastAsia="zh-CN"/>
        </w:rPr>
        <w:t>1.6</w:t>
      </w:r>
      <w:r>
        <w:rPr>
          <w:rFonts w:hint="eastAsia" w:ascii="仿宋_GB2312" w:eastAsia="仿宋_GB2312"/>
          <w:b w:val="0"/>
          <w:bCs w:val="0"/>
          <w:color w:val="auto"/>
          <w:sz w:val="32"/>
          <w:szCs w:val="32"/>
          <w:highlight w:val="none"/>
        </w:rPr>
        <w:t>万元。</w:t>
      </w:r>
    </w:p>
    <w:p>
      <w:pPr>
        <w:spacing w:line="600" w:lineRule="exact"/>
        <w:ind w:firstLine="640" w:firstLineChars="200"/>
        <w:rPr>
          <w:rFonts w:ascii="黑体" w:eastAsia="黑体"/>
          <w:b w:val="0"/>
          <w:bCs w:val="0"/>
          <w:color w:val="auto"/>
          <w:sz w:val="32"/>
          <w:szCs w:val="32"/>
          <w:highlight w:val="none"/>
        </w:rPr>
      </w:pPr>
      <w:r>
        <w:rPr>
          <w:rFonts w:hint="eastAsia" w:ascii="仿宋" w:hAnsi="仿宋" w:eastAsia="仿宋"/>
          <w:b w:val="0"/>
          <w:bCs w:val="0"/>
          <w:color w:val="auto"/>
          <w:sz w:val="32"/>
          <w:szCs w:val="32"/>
          <w:highlight w:val="none"/>
        </w:rPr>
        <w:t>外事接待支出</w:t>
      </w:r>
      <w:r>
        <w:rPr>
          <w:rFonts w:hint="eastAsia" w:ascii="仿宋" w:hAnsi="仿宋" w:eastAsia="仿宋"/>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外事接待</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批次，</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人</w:t>
      </w:r>
      <w:r>
        <w:rPr>
          <w:rFonts w:hint="eastAsia" w:ascii="仿宋_GB2312" w:eastAsia="仿宋_GB2312"/>
          <w:b w:val="0"/>
          <w:bCs w:val="0"/>
          <w:color w:val="auto"/>
          <w:sz w:val="32"/>
          <w:szCs w:val="32"/>
          <w:highlight w:val="none"/>
          <w:lang w:eastAsia="zh-CN"/>
        </w:rPr>
        <w:t>次（不包括陪同人员）</w:t>
      </w:r>
      <w:r>
        <w:rPr>
          <w:rFonts w:hint="eastAsia" w:ascii="仿宋_GB2312" w:eastAsia="仿宋_GB2312"/>
          <w:b w:val="0"/>
          <w:bCs w:val="0"/>
          <w:color w:val="auto"/>
          <w:sz w:val="32"/>
          <w:szCs w:val="32"/>
          <w:highlight w:val="none"/>
        </w:rPr>
        <w:t>，共计支出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p>
    <w:p>
      <w:pPr>
        <w:spacing w:line="600" w:lineRule="exact"/>
        <w:ind w:firstLine="640"/>
        <w:outlineLvl w:val="1"/>
        <w:rPr>
          <w:rStyle w:val="31"/>
          <w:rFonts w:ascii="黑体" w:hAnsi="黑体" w:eastAsia="黑体"/>
          <w:b w:val="0"/>
          <w:bCs w:val="0"/>
          <w:color w:val="auto"/>
          <w:highlight w:val="none"/>
        </w:rPr>
      </w:pPr>
      <w:r>
        <w:rPr>
          <w:rFonts w:hint="eastAsia" w:ascii="黑体" w:eastAsia="黑体"/>
          <w:b w:val="0"/>
          <w:bCs w:val="0"/>
          <w:color w:val="auto"/>
          <w:sz w:val="32"/>
          <w:szCs w:val="32"/>
          <w:highlight w:val="none"/>
        </w:rPr>
        <w:t>八、</w:t>
      </w:r>
      <w:r>
        <w:rPr>
          <w:rStyle w:val="31"/>
          <w:rFonts w:hint="eastAsia" w:ascii="黑体" w:hAnsi="黑体" w:eastAsia="黑体"/>
          <w:b w:val="0"/>
          <w:bCs w:val="0"/>
          <w:color w:val="auto"/>
          <w:highlight w:val="none"/>
        </w:rPr>
        <w:t>政府性基金预算支出决算情况说明</w:t>
      </w:r>
      <w:bookmarkEnd w:id="40"/>
      <w:bookmarkEnd w:id="41"/>
    </w:p>
    <w:p>
      <w:pPr>
        <w:spacing w:line="600" w:lineRule="exact"/>
        <w:ind w:firstLine="64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年政府性基金预算</w:t>
      </w:r>
      <w:r>
        <w:rPr>
          <w:rFonts w:hint="eastAsia" w:ascii="仿宋_GB2312" w:eastAsia="仿宋_GB2312"/>
          <w:b w:val="0"/>
          <w:bCs w:val="0"/>
          <w:color w:val="auto"/>
          <w:sz w:val="32"/>
          <w:szCs w:val="32"/>
          <w:highlight w:val="none"/>
          <w:lang w:eastAsia="zh-CN"/>
        </w:rPr>
        <w:t>财政</w:t>
      </w:r>
      <w:r>
        <w:rPr>
          <w:rFonts w:hint="eastAsia" w:ascii="仿宋_GB2312" w:eastAsia="仿宋_GB2312"/>
          <w:b w:val="0"/>
          <w:bCs w:val="0"/>
          <w:color w:val="auto"/>
          <w:sz w:val="32"/>
          <w:szCs w:val="32"/>
          <w:highlight w:val="none"/>
        </w:rPr>
        <w:t>拨款支出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p>
    <w:p>
      <w:pPr>
        <w:numPr>
          <w:ilvl w:val="0"/>
          <w:numId w:val="3"/>
        </w:numPr>
        <w:spacing w:line="600" w:lineRule="exact"/>
        <w:ind w:firstLine="640"/>
        <w:outlineLvl w:val="1"/>
        <w:rPr>
          <w:rStyle w:val="31"/>
          <w:rFonts w:ascii="黑体" w:hAnsi="黑体" w:eastAsia="黑体"/>
          <w:b w:val="0"/>
          <w:bCs w:val="0"/>
          <w:color w:val="auto"/>
          <w:highlight w:val="none"/>
        </w:rPr>
      </w:pPr>
      <w:bookmarkStart w:id="42" w:name="_Toc15396611"/>
      <w:bookmarkStart w:id="43" w:name="_Toc15377219"/>
      <w:r>
        <w:rPr>
          <w:rStyle w:val="31"/>
          <w:rFonts w:hint="eastAsia" w:ascii="黑体" w:hAnsi="黑体" w:eastAsia="黑体"/>
          <w:b w:val="0"/>
          <w:bCs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b w:val="0"/>
          <w:bCs w:val="0"/>
          <w:color w:val="auto"/>
          <w:sz w:val="44"/>
          <w:szCs w:val="44"/>
          <w:highlight w:val="none"/>
        </w:rPr>
      </w:pP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年国有资本经营预算</w:t>
      </w:r>
      <w:r>
        <w:rPr>
          <w:rFonts w:hint="eastAsia" w:ascii="仿宋_GB2312" w:eastAsia="仿宋_GB2312"/>
          <w:b w:val="0"/>
          <w:bCs w:val="0"/>
          <w:color w:val="auto"/>
          <w:sz w:val="32"/>
          <w:szCs w:val="32"/>
          <w:highlight w:val="none"/>
          <w:lang w:eastAsia="zh-CN"/>
        </w:rPr>
        <w:t>财政</w:t>
      </w:r>
      <w:r>
        <w:rPr>
          <w:rFonts w:hint="eastAsia" w:ascii="仿宋_GB2312" w:eastAsia="仿宋_GB2312"/>
          <w:b w:val="0"/>
          <w:bCs w:val="0"/>
          <w:color w:val="auto"/>
          <w:sz w:val="32"/>
          <w:szCs w:val="32"/>
          <w:highlight w:val="none"/>
        </w:rPr>
        <w:t>拨款支出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p>
    <w:p>
      <w:pPr>
        <w:numPr>
          <w:ilvl w:val="0"/>
          <w:numId w:val="3"/>
        </w:numPr>
        <w:spacing w:line="600" w:lineRule="exact"/>
        <w:ind w:firstLine="640"/>
        <w:outlineLvl w:val="1"/>
        <w:rPr>
          <w:rStyle w:val="31"/>
          <w:rFonts w:hint="eastAsia" w:ascii="黑体" w:hAnsi="黑体" w:eastAsia="黑体"/>
          <w:b w:val="0"/>
          <w:bCs w:val="0"/>
          <w:color w:val="auto"/>
          <w:highlight w:val="none"/>
        </w:rPr>
      </w:pPr>
      <w:bookmarkStart w:id="44" w:name="_Toc15377221"/>
      <w:bookmarkStart w:id="45" w:name="_Toc15396612"/>
      <w:r>
        <w:rPr>
          <w:rStyle w:val="31"/>
          <w:rFonts w:hint="eastAsia" w:ascii="黑体" w:hAnsi="黑体" w:eastAsia="黑体"/>
          <w:b w:val="0"/>
          <w:bCs w:val="0"/>
          <w:color w:val="auto"/>
          <w:highlight w:val="none"/>
        </w:rPr>
        <w:t>其他重要事项的情况说明</w:t>
      </w:r>
      <w:bookmarkEnd w:id="44"/>
      <w:bookmarkEnd w:id="45"/>
    </w:p>
    <w:p>
      <w:pPr>
        <w:spacing w:line="600" w:lineRule="exact"/>
        <w:ind w:firstLine="640" w:firstLineChars="200"/>
        <w:outlineLvl w:val="2"/>
        <w:rPr>
          <w:rFonts w:ascii="仿宋" w:hAnsi="仿宋" w:eastAsia="仿宋"/>
          <w:b w:val="0"/>
          <w:bCs w:val="0"/>
          <w:color w:val="auto"/>
          <w:sz w:val="32"/>
          <w:szCs w:val="32"/>
          <w:highlight w:val="none"/>
        </w:rPr>
      </w:pPr>
      <w:bookmarkStart w:id="46" w:name="_Toc15377222"/>
      <w:r>
        <w:rPr>
          <w:rFonts w:hint="eastAsia" w:ascii="仿宋" w:hAnsi="仿宋" w:eastAsia="仿宋"/>
          <w:b w:val="0"/>
          <w:bCs w:val="0"/>
          <w:color w:val="auto"/>
          <w:sz w:val="32"/>
          <w:szCs w:val="32"/>
          <w:highlight w:val="none"/>
        </w:rPr>
        <w:t>（一）机关运行经费支出情况</w:t>
      </w:r>
      <w:bookmarkEnd w:id="46"/>
    </w:p>
    <w:p>
      <w:pPr>
        <w:spacing w:line="600" w:lineRule="exact"/>
        <w:ind w:firstLine="640" w:firstLineChars="200"/>
        <w:rPr>
          <w:rFonts w:hint="eastAsia" w:ascii="仿宋_GB2312" w:eastAsia="仿宋_GB2312"/>
          <w:b w:val="0"/>
          <w:bCs w:val="0"/>
          <w:color w:val="auto"/>
          <w:sz w:val="32"/>
          <w:szCs w:val="32"/>
          <w:highlight w:val="none"/>
          <w:lang w:eastAsia="zh-CN"/>
        </w:rPr>
      </w:pP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w:t>
      </w:r>
      <w:r>
        <w:rPr>
          <w:rFonts w:hint="eastAsia" w:ascii="仿宋_GB2312" w:eastAsia="仿宋_GB2312"/>
          <w:b w:val="0"/>
          <w:bCs w:val="0"/>
          <w:color w:val="auto"/>
          <w:sz w:val="32"/>
          <w:szCs w:val="32"/>
          <w:highlight w:val="none"/>
          <w:lang w:val="en-US" w:eastAsia="zh-CN"/>
        </w:rPr>
        <w:t>泸县工商业联合会</w:t>
      </w:r>
      <w:r>
        <w:rPr>
          <w:rFonts w:hint="eastAsia" w:ascii="仿宋_GB2312" w:eastAsia="仿宋_GB2312"/>
          <w:b w:val="0"/>
          <w:bCs w:val="0"/>
          <w:color w:val="auto"/>
          <w:sz w:val="32"/>
          <w:szCs w:val="32"/>
          <w:highlight w:val="none"/>
        </w:rPr>
        <w:t>机关运行经费支出</w:t>
      </w:r>
      <w:r>
        <w:rPr>
          <w:rFonts w:hint="eastAsia" w:ascii="仿宋_GB2312" w:eastAsia="仿宋_GB2312"/>
          <w:b w:val="0"/>
          <w:bCs w:val="0"/>
          <w:color w:val="auto"/>
          <w:sz w:val="32"/>
          <w:szCs w:val="32"/>
          <w:highlight w:val="none"/>
          <w:lang w:val="en-US" w:eastAsia="zh-CN"/>
        </w:rPr>
        <w:t>10.68</w:t>
      </w:r>
      <w:r>
        <w:rPr>
          <w:rFonts w:hint="eastAsia" w:ascii="仿宋_GB2312" w:eastAsia="仿宋_GB2312"/>
          <w:b w:val="0"/>
          <w:bCs w:val="0"/>
          <w:color w:val="auto"/>
          <w:sz w:val="32"/>
          <w:szCs w:val="32"/>
          <w:highlight w:val="none"/>
        </w:rPr>
        <w:t>万元，比</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21</w:t>
      </w:r>
      <w:r>
        <w:rPr>
          <w:rFonts w:hint="eastAsia" w:ascii="仿宋_GB2312" w:eastAsia="仿宋_GB2312"/>
          <w:b w:val="0"/>
          <w:bCs w:val="0"/>
          <w:color w:val="auto"/>
          <w:sz w:val="32"/>
          <w:szCs w:val="32"/>
          <w:highlight w:val="none"/>
        </w:rPr>
        <w:t>年</w:t>
      </w:r>
      <w:r>
        <w:rPr>
          <w:rFonts w:hint="eastAsia" w:ascii="仿宋_GB2312" w:eastAsia="仿宋_GB2312"/>
          <w:b w:val="0"/>
          <w:bCs w:val="0"/>
          <w:color w:val="auto"/>
          <w:sz w:val="32"/>
          <w:szCs w:val="32"/>
          <w:highlight w:val="none"/>
          <w:lang w:val="en-US" w:eastAsia="zh-CN"/>
        </w:rPr>
        <w:t>8.6万元，增加2.08</w:t>
      </w:r>
      <w:r>
        <w:rPr>
          <w:rFonts w:hint="eastAsia" w:ascii="仿宋_GB2312" w:eastAsia="仿宋_GB2312"/>
          <w:b w:val="0"/>
          <w:bCs w:val="0"/>
          <w:color w:val="auto"/>
          <w:sz w:val="32"/>
          <w:szCs w:val="32"/>
          <w:highlight w:val="none"/>
        </w:rPr>
        <w:t>万元，</w:t>
      </w:r>
      <w:r>
        <w:rPr>
          <w:rFonts w:hint="eastAsia" w:ascii="仿宋_GB2312" w:eastAsia="仿宋_GB2312"/>
          <w:b w:val="0"/>
          <w:bCs w:val="0"/>
          <w:color w:val="auto"/>
          <w:sz w:val="32"/>
          <w:szCs w:val="32"/>
          <w:highlight w:val="none"/>
          <w:lang w:val="en-US" w:eastAsia="zh-CN"/>
        </w:rPr>
        <w:t>增加24.19</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。主要原因是</w:t>
      </w:r>
      <w:r>
        <w:rPr>
          <w:rFonts w:hint="eastAsia" w:ascii="仿宋_GB2312" w:eastAsia="仿宋_GB2312"/>
          <w:b w:val="0"/>
          <w:bCs w:val="0"/>
          <w:color w:val="auto"/>
          <w:sz w:val="32"/>
          <w:szCs w:val="32"/>
          <w:highlight w:val="none"/>
          <w:lang w:val="en-US" w:eastAsia="zh-CN"/>
        </w:rPr>
        <w:t>办公用经费增加</w:t>
      </w:r>
      <w:r>
        <w:rPr>
          <w:rFonts w:hint="eastAsia" w:ascii="仿宋_GB2312" w:eastAsia="仿宋_GB2312"/>
          <w:b w:val="0"/>
          <w:bCs w:val="0"/>
          <w:color w:val="auto"/>
          <w:sz w:val="32"/>
          <w:szCs w:val="32"/>
          <w:highlight w:val="none"/>
          <w:lang w:eastAsia="zh-CN"/>
        </w:rPr>
        <w:t>。</w:t>
      </w:r>
    </w:p>
    <w:p>
      <w:pPr>
        <w:autoSpaceDE w:val="0"/>
        <w:autoSpaceDN w:val="0"/>
        <w:adjustRightInd w:val="0"/>
        <w:spacing w:line="600" w:lineRule="exact"/>
        <w:ind w:firstLine="640" w:firstLineChars="200"/>
        <w:jc w:val="left"/>
        <w:outlineLvl w:val="2"/>
        <w:rPr>
          <w:rFonts w:ascii="仿宋" w:hAnsi="仿宋" w:eastAsia="仿宋"/>
          <w:b w:val="0"/>
          <w:bCs w:val="0"/>
          <w:color w:val="auto"/>
          <w:sz w:val="32"/>
          <w:szCs w:val="32"/>
          <w:highlight w:val="none"/>
        </w:rPr>
      </w:pPr>
      <w:bookmarkStart w:id="47" w:name="_Toc15377223"/>
      <w:r>
        <w:rPr>
          <w:rFonts w:hint="eastAsia" w:ascii="仿宋" w:hAnsi="仿宋" w:eastAsia="仿宋"/>
          <w:b w:val="0"/>
          <w:bCs w:val="0"/>
          <w:color w:val="auto"/>
          <w:sz w:val="32"/>
          <w:szCs w:val="32"/>
          <w:highlight w:val="none"/>
        </w:rPr>
        <w:t>（二）政府采购支出情况</w:t>
      </w:r>
      <w:bookmarkEnd w:id="47"/>
    </w:p>
    <w:p>
      <w:pPr>
        <w:spacing w:line="600" w:lineRule="exact"/>
        <w:ind w:firstLine="640" w:firstLineChars="20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w:t>
      </w:r>
      <w:r>
        <w:rPr>
          <w:rFonts w:hint="eastAsia" w:ascii="仿宋_GB2312" w:eastAsia="仿宋_GB2312"/>
          <w:b w:val="0"/>
          <w:bCs w:val="0"/>
          <w:color w:val="auto"/>
          <w:sz w:val="32"/>
          <w:szCs w:val="32"/>
          <w:highlight w:val="none"/>
          <w:lang w:val="en-US" w:eastAsia="zh-CN"/>
        </w:rPr>
        <w:t>泸县工商业联合会</w:t>
      </w:r>
      <w:r>
        <w:rPr>
          <w:rFonts w:hint="eastAsia" w:ascii="仿宋_GB2312" w:eastAsia="仿宋_GB2312"/>
          <w:b w:val="0"/>
          <w:bCs w:val="0"/>
          <w:color w:val="auto"/>
          <w:sz w:val="32"/>
          <w:szCs w:val="32"/>
          <w:highlight w:val="none"/>
        </w:rPr>
        <w:t>政府采购支出总额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万元，其中：政府采购货物支出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万元、政府采购工程支出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万元、政府采购服务支出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万元。授予中小企业合同金额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万元，占政府采购支出总额的</w:t>
      </w:r>
      <w:r>
        <w:rPr>
          <w:rFonts w:hint="eastAsia" w:ascii="仿宋_GB2312" w:eastAsia="仿宋_GB2312"/>
          <w:b w:val="0"/>
          <w:bCs w:val="0"/>
          <w:color w:val="auto"/>
          <w:sz w:val="32"/>
          <w:szCs w:val="32"/>
          <w:highlight w:val="none"/>
          <w:lang w:val="en-US" w:eastAsia="zh-CN"/>
        </w:rPr>
        <w:t>0</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，其中：授予小微企业合同金额</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万元，占政府采购支出总额的</w:t>
      </w:r>
      <w:r>
        <w:rPr>
          <w:rFonts w:hint="eastAsia" w:ascii="仿宋_GB2312" w:eastAsia="仿宋_GB2312"/>
          <w:b w:val="0"/>
          <w:bCs w:val="0"/>
          <w:color w:val="auto"/>
          <w:sz w:val="32"/>
          <w:szCs w:val="32"/>
          <w:highlight w:val="none"/>
          <w:lang w:val="en-US" w:eastAsia="zh-CN"/>
        </w:rPr>
        <w:t>0</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w:t>
      </w:r>
    </w:p>
    <w:p>
      <w:pPr>
        <w:spacing w:line="600" w:lineRule="exact"/>
        <w:ind w:firstLine="640" w:firstLineChars="200"/>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（注：数据来源于财决附</w:t>
      </w:r>
      <w:r>
        <w:rPr>
          <w:rFonts w:ascii="仿宋" w:hAnsi="仿宋" w:eastAsia="仿宋"/>
          <w:b w:val="0"/>
          <w:bCs w:val="0"/>
          <w:color w:val="auto"/>
          <w:sz w:val="32"/>
          <w:szCs w:val="32"/>
          <w:highlight w:val="none"/>
        </w:rPr>
        <w:t>03</w:t>
      </w:r>
      <w:r>
        <w:rPr>
          <w:rFonts w:hint="eastAsia" w:ascii="仿宋" w:hAnsi="仿宋" w:eastAsia="仿宋"/>
          <w:b w:val="0"/>
          <w:bCs w:val="0"/>
          <w:color w:val="auto"/>
          <w:sz w:val="32"/>
          <w:szCs w:val="32"/>
          <w:highlight w:val="none"/>
        </w:rPr>
        <w:t>表）</w:t>
      </w:r>
    </w:p>
    <w:p>
      <w:pPr>
        <w:autoSpaceDE w:val="0"/>
        <w:autoSpaceDN w:val="0"/>
        <w:adjustRightInd w:val="0"/>
        <w:spacing w:line="600" w:lineRule="exact"/>
        <w:ind w:firstLine="640" w:firstLineChars="200"/>
        <w:jc w:val="left"/>
        <w:outlineLvl w:val="2"/>
        <w:rPr>
          <w:rFonts w:ascii="仿宋" w:hAnsi="仿宋" w:eastAsia="仿宋"/>
          <w:b w:val="0"/>
          <w:bCs w:val="0"/>
          <w:color w:val="auto"/>
          <w:sz w:val="32"/>
          <w:szCs w:val="32"/>
          <w:highlight w:val="none"/>
        </w:rPr>
      </w:pPr>
      <w:bookmarkStart w:id="48" w:name="_Toc15377224"/>
      <w:r>
        <w:rPr>
          <w:rFonts w:hint="eastAsia" w:ascii="仿宋" w:hAnsi="仿宋" w:eastAsia="仿宋"/>
          <w:b w:val="0"/>
          <w:bCs w:val="0"/>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截至</w:t>
      </w:r>
      <w:r>
        <w:rPr>
          <w:rFonts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22</w:t>
      </w:r>
      <w:r>
        <w:rPr>
          <w:rFonts w:hint="eastAsia" w:ascii="仿宋_GB2312" w:eastAsia="仿宋_GB2312"/>
          <w:b w:val="0"/>
          <w:bCs w:val="0"/>
          <w:color w:val="auto"/>
          <w:sz w:val="32"/>
          <w:szCs w:val="32"/>
          <w:highlight w:val="none"/>
        </w:rPr>
        <w:t>年</w:t>
      </w:r>
      <w:r>
        <w:rPr>
          <w:rFonts w:ascii="仿宋_GB2312" w:eastAsia="仿宋_GB2312"/>
          <w:b w:val="0"/>
          <w:bCs w:val="0"/>
          <w:color w:val="auto"/>
          <w:sz w:val="32"/>
          <w:szCs w:val="32"/>
          <w:highlight w:val="none"/>
        </w:rPr>
        <w:t>12</w:t>
      </w:r>
      <w:r>
        <w:rPr>
          <w:rFonts w:hint="eastAsia" w:ascii="仿宋_GB2312" w:eastAsia="仿宋_GB2312"/>
          <w:b w:val="0"/>
          <w:bCs w:val="0"/>
          <w:color w:val="auto"/>
          <w:sz w:val="32"/>
          <w:szCs w:val="32"/>
          <w:highlight w:val="none"/>
        </w:rPr>
        <w:t>月</w:t>
      </w:r>
      <w:r>
        <w:rPr>
          <w:rFonts w:ascii="仿宋_GB2312" w:eastAsia="仿宋_GB2312"/>
          <w:b w:val="0"/>
          <w:bCs w:val="0"/>
          <w:color w:val="auto"/>
          <w:sz w:val="32"/>
          <w:szCs w:val="32"/>
          <w:highlight w:val="none"/>
        </w:rPr>
        <w:t>31</w:t>
      </w:r>
      <w:r>
        <w:rPr>
          <w:rFonts w:hint="eastAsia" w:ascii="仿宋_GB2312" w:eastAsia="仿宋_GB2312"/>
          <w:b w:val="0"/>
          <w:bCs w:val="0"/>
          <w:color w:val="auto"/>
          <w:sz w:val="32"/>
          <w:szCs w:val="32"/>
          <w:highlight w:val="none"/>
        </w:rPr>
        <w:t>日，</w:t>
      </w:r>
      <w:r>
        <w:rPr>
          <w:rFonts w:hint="eastAsia" w:ascii="仿宋_GB2312" w:eastAsia="仿宋_GB2312"/>
          <w:b w:val="0"/>
          <w:bCs w:val="0"/>
          <w:color w:val="auto"/>
          <w:sz w:val="32"/>
          <w:szCs w:val="32"/>
          <w:highlight w:val="none"/>
          <w:lang w:val="en-US" w:eastAsia="zh-CN"/>
        </w:rPr>
        <w:t>泸县工商业联合会</w:t>
      </w:r>
      <w:r>
        <w:rPr>
          <w:rFonts w:hint="eastAsia" w:ascii="仿宋_GB2312" w:eastAsia="仿宋_GB2312"/>
          <w:b w:val="0"/>
          <w:bCs w:val="0"/>
          <w:color w:val="auto"/>
          <w:sz w:val="32"/>
          <w:szCs w:val="32"/>
          <w:highlight w:val="none"/>
        </w:rPr>
        <w:t>共有车辆</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辆，其中：主要领导干部用车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辆、机要通信用车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辆、应急保障用车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辆、其他用车</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辆</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rPr>
        <w:t>单价</w:t>
      </w:r>
      <w:r>
        <w:rPr>
          <w:rFonts w:ascii="仿宋_GB2312" w:eastAsia="仿宋_GB2312"/>
          <w:b w:val="0"/>
          <w:bCs w:val="0"/>
          <w:color w:val="auto"/>
          <w:sz w:val="32"/>
          <w:szCs w:val="32"/>
        </w:rPr>
        <w:t>50</w:t>
      </w:r>
      <w:r>
        <w:rPr>
          <w:rFonts w:hint="eastAsia" w:ascii="仿宋_GB2312" w:eastAsia="仿宋_GB2312"/>
          <w:b w:val="0"/>
          <w:bCs w:val="0"/>
          <w:color w:val="auto"/>
          <w:sz w:val="32"/>
          <w:szCs w:val="32"/>
        </w:rPr>
        <w:t>万元以上通用设备</w:t>
      </w:r>
      <w:r>
        <w:rPr>
          <w:rFonts w:hint="eastAsia" w:ascii="仿宋_GB2312" w:eastAsia="仿宋_GB2312"/>
          <w:b w:val="0"/>
          <w:bCs w:val="0"/>
          <w:color w:val="auto"/>
          <w:sz w:val="32"/>
          <w:szCs w:val="32"/>
          <w:lang w:val="en-US" w:eastAsia="zh-CN"/>
        </w:rPr>
        <w:t>0</w:t>
      </w:r>
      <w:r>
        <w:rPr>
          <w:rFonts w:hint="eastAsia" w:ascii="仿宋_GB2312" w:eastAsia="仿宋_GB2312"/>
          <w:b w:val="0"/>
          <w:bCs w:val="0"/>
          <w:color w:val="auto"/>
          <w:sz w:val="32"/>
          <w:szCs w:val="32"/>
        </w:rPr>
        <w:t>台（套），</w:t>
      </w:r>
      <w:r>
        <w:rPr>
          <w:rFonts w:hint="eastAsia" w:ascii="仿宋_GB2312" w:eastAsia="仿宋_GB2312"/>
          <w:b w:val="0"/>
          <w:bCs w:val="0"/>
          <w:color w:val="auto"/>
          <w:sz w:val="32"/>
          <w:szCs w:val="32"/>
          <w:highlight w:val="none"/>
        </w:rPr>
        <w:t>单价</w:t>
      </w:r>
      <w:r>
        <w:rPr>
          <w:rFonts w:ascii="仿宋_GB2312" w:eastAsia="仿宋_GB2312"/>
          <w:b w:val="0"/>
          <w:bCs w:val="0"/>
          <w:color w:val="auto"/>
          <w:sz w:val="32"/>
          <w:szCs w:val="32"/>
          <w:highlight w:val="none"/>
        </w:rPr>
        <w:t>100</w:t>
      </w:r>
      <w:r>
        <w:rPr>
          <w:rFonts w:hint="eastAsia" w:ascii="仿宋_GB2312" w:eastAsia="仿宋_GB2312"/>
          <w:b w:val="0"/>
          <w:bCs w:val="0"/>
          <w:color w:val="auto"/>
          <w:sz w:val="32"/>
          <w:szCs w:val="32"/>
          <w:highlight w:val="none"/>
        </w:rPr>
        <w:t>万元以上专用设备</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台（套）。</w:t>
      </w:r>
    </w:p>
    <w:p>
      <w:pPr>
        <w:autoSpaceDE w:val="0"/>
        <w:autoSpaceDN w:val="0"/>
        <w:adjustRightInd w:val="0"/>
        <w:spacing w:line="600" w:lineRule="exact"/>
        <w:ind w:firstLine="640" w:firstLineChars="200"/>
        <w:jc w:val="left"/>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（注：数据来源</w:t>
      </w:r>
      <w:r>
        <w:rPr>
          <w:rFonts w:hint="eastAsia" w:ascii="仿宋" w:hAnsi="仿宋" w:eastAsia="仿宋"/>
          <w:b w:val="0"/>
          <w:bCs w:val="0"/>
          <w:color w:val="auto"/>
          <w:sz w:val="32"/>
          <w:szCs w:val="32"/>
          <w:highlight w:val="none"/>
          <w:lang w:eastAsia="zh-CN"/>
        </w:rPr>
        <w:t>于</w:t>
      </w:r>
      <w:r>
        <w:rPr>
          <w:rFonts w:hint="eastAsia" w:ascii="仿宋" w:hAnsi="仿宋" w:eastAsia="仿宋"/>
          <w:b w:val="0"/>
          <w:bCs w:val="0"/>
          <w:color w:val="auto"/>
          <w:sz w:val="32"/>
          <w:szCs w:val="32"/>
          <w:highlight w:val="none"/>
        </w:rPr>
        <w:t>财决附</w:t>
      </w:r>
      <w:r>
        <w:rPr>
          <w:rFonts w:ascii="仿宋" w:hAnsi="仿宋" w:eastAsia="仿宋"/>
          <w:b w:val="0"/>
          <w:bCs w:val="0"/>
          <w:color w:val="auto"/>
          <w:sz w:val="32"/>
          <w:szCs w:val="32"/>
          <w:highlight w:val="none"/>
        </w:rPr>
        <w:t>03</w:t>
      </w:r>
      <w:r>
        <w:rPr>
          <w:rFonts w:hint="eastAsia" w:ascii="仿宋" w:hAnsi="仿宋" w:eastAsia="仿宋"/>
          <w:b w:val="0"/>
          <w:bCs w:val="0"/>
          <w:color w:val="auto"/>
          <w:sz w:val="32"/>
          <w:szCs w:val="32"/>
          <w:highlight w:val="none"/>
        </w:rPr>
        <w:t>表，按部门决算报表填报数据罗列车辆情况。）</w:t>
      </w:r>
    </w:p>
    <w:p>
      <w:pPr>
        <w:autoSpaceDE w:val="0"/>
        <w:autoSpaceDN w:val="0"/>
        <w:adjustRightInd w:val="0"/>
        <w:spacing w:line="600" w:lineRule="exact"/>
        <w:ind w:firstLine="640" w:firstLineChars="200"/>
        <w:jc w:val="left"/>
        <w:outlineLvl w:val="2"/>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（四）预算绩效管理情况</w:t>
      </w:r>
    </w:p>
    <w:p>
      <w:pPr>
        <w:pageBreakBefore w:val="0"/>
        <w:kinsoku/>
        <w:wordWrap/>
        <w:overflowPunct/>
        <w:topLinePunct w:val="0"/>
        <w:autoSpaceDE w:val="0"/>
        <w:autoSpaceDN w:val="0"/>
        <w:bidi w:val="0"/>
        <w:adjustRightInd w:val="0"/>
        <w:spacing w:line="578" w:lineRule="exact"/>
        <w:ind w:firstLine="640" w:firstLineChars="200"/>
        <w:jc w:val="left"/>
        <w:rPr>
          <w:rFonts w:hint="eastAsia"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根据预算绩效管理要求，本部门在202</w:t>
      </w:r>
      <w:r>
        <w:rPr>
          <w:rFonts w:hint="eastAsia" w:ascii="仿宋_GB2312" w:eastAsia="仿宋_GB2312" w:cs="Times New Roman"/>
          <w:b w:val="0"/>
          <w:bCs w:val="0"/>
          <w:color w:val="auto"/>
          <w:sz w:val="32"/>
          <w:szCs w:val="32"/>
          <w:lang w:val="en-US" w:eastAsia="zh-CN"/>
        </w:rPr>
        <w:t>2</w:t>
      </w:r>
      <w:r>
        <w:rPr>
          <w:rFonts w:hint="eastAsia" w:ascii="仿宋_GB2312" w:hAnsi="Times New Roman" w:eastAsia="仿宋_GB2312" w:cs="Times New Roman"/>
          <w:b w:val="0"/>
          <w:bCs w:val="0"/>
          <w:color w:val="auto"/>
          <w:sz w:val="32"/>
          <w:szCs w:val="32"/>
        </w:rPr>
        <w:t>年度预算编制阶段，组织对</w:t>
      </w:r>
      <w:r>
        <w:rPr>
          <w:rFonts w:hint="eastAsia" w:ascii="仿宋_GB2312" w:hAnsi="Times New Roman" w:eastAsia="仿宋_GB2312" w:cs="Times New Roman"/>
          <w:b w:val="0"/>
          <w:bCs w:val="0"/>
          <w:color w:val="auto"/>
          <w:sz w:val="32"/>
          <w:szCs w:val="32"/>
          <w:lang w:val="en-US" w:eastAsia="zh-CN"/>
        </w:rPr>
        <w:t>经常性</w:t>
      </w:r>
      <w:r>
        <w:rPr>
          <w:rFonts w:hint="eastAsia" w:ascii="仿宋_GB2312" w:hAnsi="Times New Roman" w:eastAsia="仿宋_GB2312" w:cs="Times New Roman"/>
          <w:b w:val="0"/>
          <w:bCs w:val="0"/>
          <w:color w:val="auto"/>
          <w:sz w:val="32"/>
          <w:szCs w:val="32"/>
        </w:rPr>
        <w:t>项目（项目名称）等</w:t>
      </w:r>
      <w:r>
        <w:rPr>
          <w:rFonts w:hint="eastAsia" w:ascii="仿宋_GB2312" w:hAnsi="Times New Roman" w:eastAsia="仿宋_GB2312" w:cs="Times New Roman"/>
          <w:b w:val="0"/>
          <w:bCs w:val="0"/>
          <w:color w:val="auto"/>
          <w:sz w:val="32"/>
          <w:szCs w:val="32"/>
          <w:lang w:val="en-US" w:eastAsia="zh-CN"/>
        </w:rPr>
        <w:t>1</w:t>
      </w:r>
      <w:r>
        <w:rPr>
          <w:rFonts w:hint="eastAsia" w:ascii="仿宋_GB2312" w:hAnsi="Times New Roman" w:eastAsia="仿宋_GB2312" w:cs="Times New Roman"/>
          <w:b w:val="0"/>
          <w:bCs w:val="0"/>
          <w:color w:val="auto"/>
          <w:sz w:val="32"/>
          <w:szCs w:val="32"/>
        </w:rPr>
        <w:t>个项目开展了预算事前绩效评估，对</w:t>
      </w:r>
      <w:r>
        <w:rPr>
          <w:rFonts w:hint="eastAsia" w:ascii="仿宋_GB2312" w:hAnsi="Times New Roman" w:eastAsia="仿宋_GB2312" w:cs="Times New Roman"/>
          <w:b w:val="0"/>
          <w:bCs w:val="0"/>
          <w:color w:val="auto"/>
          <w:sz w:val="32"/>
          <w:szCs w:val="32"/>
          <w:lang w:val="en-US" w:eastAsia="zh-CN"/>
        </w:rPr>
        <w:t>1</w:t>
      </w:r>
      <w:r>
        <w:rPr>
          <w:rFonts w:hint="eastAsia" w:ascii="仿宋_GB2312" w:hAnsi="Times New Roman" w:eastAsia="仿宋_GB2312" w:cs="Times New Roman"/>
          <w:b w:val="0"/>
          <w:bCs w:val="0"/>
          <w:color w:val="auto"/>
          <w:sz w:val="32"/>
          <w:szCs w:val="32"/>
        </w:rPr>
        <w:t>个项目编制了绩效目标，预算执行过程中，选取</w:t>
      </w:r>
      <w:r>
        <w:rPr>
          <w:rFonts w:hint="eastAsia" w:ascii="仿宋_GB2312" w:hAnsi="Times New Roman" w:eastAsia="仿宋_GB2312" w:cs="Times New Roman"/>
          <w:b w:val="0"/>
          <w:bCs w:val="0"/>
          <w:color w:val="auto"/>
          <w:sz w:val="32"/>
          <w:szCs w:val="32"/>
          <w:lang w:val="en-US" w:eastAsia="zh-CN"/>
        </w:rPr>
        <w:t>1</w:t>
      </w:r>
      <w:r>
        <w:rPr>
          <w:rFonts w:hint="eastAsia" w:ascii="仿宋_GB2312" w:hAnsi="Times New Roman" w:eastAsia="仿宋_GB2312" w:cs="Times New Roman"/>
          <w:b w:val="0"/>
          <w:bCs w:val="0"/>
          <w:color w:val="auto"/>
          <w:sz w:val="32"/>
          <w:szCs w:val="32"/>
        </w:rPr>
        <w:t>个项目开展绩效监控，年终执行完毕后，对</w:t>
      </w:r>
      <w:r>
        <w:rPr>
          <w:rFonts w:hint="eastAsia" w:ascii="仿宋_GB2312" w:hAnsi="Times New Roman" w:eastAsia="仿宋_GB2312" w:cs="Times New Roman"/>
          <w:b w:val="0"/>
          <w:bCs w:val="0"/>
          <w:color w:val="auto"/>
          <w:sz w:val="32"/>
          <w:szCs w:val="32"/>
          <w:lang w:val="en-US" w:eastAsia="zh-CN"/>
        </w:rPr>
        <w:t>1</w:t>
      </w:r>
      <w:r>
        <w:rPr>
          <w:rFonts w:hint="eastAsia" w:ascii="仿宋_GB2312" w:hAnsi="Times New Roman" w:eastAsia="仿宋_GB2312" w:cs="Times New Roman"/>
          <w:b w:val="0"/>
          <w:bCs w:val="0"/>
          <w:color w:val="auto"/>
          <w:sz w:val="32"/>
          <w:szCs w:val="32"/>
        </w:rPr>
        <w:t>个项目开展了绩效自评。同时，本部门对202</w:t>
      </w:r>
      <w:r>
        <w:rPr>
          <w:rFonts w:hint="eastAsia" w:ascii="仿宋_GB2312" w:eastAsia="仿宋_GB2312" w:cs="Times New Roman"/>
          <w:b w:val="0"/>
          <w:bCs w:val="0"/>
          <w:color w:val="auto"/>
          <w:sz w:val="32"/>
          <w:szCs w:val="32"/>
          <w:lang w:val="en-US" w:eastAsia="zh-CN"/>
        </w:rPr>
        <w:t>2</w:t>
      </w:r>
      <w:r>
        <w:rPr>
          <w:rFonts w:hint="eastAsia" w:ascii="仿宋_GB2312" w:hAnsi="Times New Roman" w:eastAsia="仿宋_GB2312" w:cs="Times New Roman"/>
          <w:b w:val="0"/>
          <w:bCs w:val="0"/>
          <w:color w:val="auto"/>
          <w:sz w:val="32"/>
          <w:szCs w:val="32"/>
        </w:rPr>
        <w:t>年部门整体开展绩效自评，《202</w:t>
      </w:r>
      <w:r>
        <w:rPr>
          <w:rFonts w:hint="eastAsia" w:ascii="仿宋_GB2312" w:eastAsia="仿宋_GB2312" w:cs="Times New Roman"/>
          <w:b w:val="0"/>
          <w:bCs w:val="0"/>
          <w:color w:val="auto"/>
          <w:sz w:val="32"/>
          <w:szCs w:val="32"/>
          <w:lang w:val="en-US" w:eastAsia="zh-CN"/>
        </w:rPr>
        <w:t>2</w:t>
      </w:r>
      <w:r>
        <w:rPr>
          <w:rFonts w:hint="eastAsia" w:ascii="仿宋_GB2312" w:hAnsi="Times New Roman" w:eastAsia="仿宋_GB2312" w:cs="Times New Roman"/>
          <w:b w:val="0"/>
          <w:bCs w:val="0"/>
          <w:color w:val="auto"/>
          <w:sz w:val="32"/>
          <w:szCs w:val="32"/>
          <w:lang w:eastAsia="zh-CN"/>
        </w:rPr>
        <w:t>泸县工商联</w:t>
      </w:r>
      <w:r>
        <w:rPr>
          <w:rFonts w:hint="eastAsia" w:ascii="仿宋_GB2312" w:hAnsi="Times New Roman" w:eastAsia="仿宋_GB2312" w:cs="Times New Roman"/>
          <w:b w:val="0"/>
          <w:bCs w:val="0"/>
          <w:color w:val="auto"/>
          <w:sz w:val="32"/>
          <w:szCs w:val="32"/>
        </w:rPr>
        <w:t>整体绩效评价报告》见附件（第四部分）。</w:t>
      </w:r>
    </w:p>
    <w:p>
      <w:pPr>
        <w:widowControl/>
        <w:ind w:firstLine="640" w:firstLineChars="200"/>
        <w:jc w:val="left"/>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br w:type="page"/>
      </w:r>
    </w:p>
    <w:p>
      <w:pPr>
        <w:numPr>
          <w:ilvl w:val="0"/>
          <w:numId w:val="4"/>
        </w:numPr>
        <w:spacing w:line="600" w:lineRule="exact"/>
        <w:ind w:firstLine="660" w:firstLineChars="150"/>
        <w:jc w:val="center"/>
        <w:outlineLvl w:val="0"/>
        <w:rPr>
          <w:rStyle w:val="30"/>
          <w:rFonts w:ascii="黑体" w:hAnsi="黑体" w:eastAsia="黑体"/>
          <w:b w:val="0"/>
          <w:bCs w:val="0"/>
          <w:color w:val="auto"/>
          <w:highlight w:val="none"/>
        </w:rPr>
      </w:pPr>
      <w:bookmarkStart w:id="49" w:name="_Toc15377225"/>
      <w:bookmarkStart w:id="50" w:name="_Toc15396613"/>
      <w:r>
        <w:rPr>
          <w:rFonts w:hint="eastAsia" w:ascii="黑体" w:hAnsi="黑体" w:eastAsia="黑体"/>
          <w:b w:val="0"/>
          <w:bCs w:val="0"/>
          <w:color w:val="auto"/>
          <w:sz w:val="44"/>
          <w:szCs w:val="44"/>
          <w:highlight w:val="none"/>
        </w:rPr>
        <w:t>名</w:t>
      </w:r>
      <w:r>
        <w:rPr>
          <w:rStyle w:val="30"/>
          <w:rFonts w:hint="eastAsia" w:ascii="黑体" w:hAnsi="黑体" w:eastAsia="黑体"/>
          <w:b w:val="0"/>
          <w:bCs w:val="0"/>
          <w:color w:val="auto"/>
          <w:highlight w:val="none"/>
        </w:rPr>
        <w:t>词解释</w:t>
      </w:r>
      <w:bookmarkEnd w:id="49"/>
      <w:bookmarkEnd w:id="50"/>
    </w:p>
    <w:p>
      <w:pPr>
        <w:spacing w:line="600" w:lineRule="exact"/>
        <w:jc w:val="left"/>
        <w:rPr>
          <w:rFonts w:ascii="宋体"/>
          <w:b w:val="0"/>
          <w:bCs w:val="0"/>
          <w:color w:val="auto"/>
          <w:sz w:val="44"/>
          <w:szCs w:val="44"/>
          <w:highlight w:val="none"/>
        </w:rPr>
      </w:pPr>
    </w:p>
    <w:p>
      <w:pPr>
        <w:pStyle w:val="28"/>
        <w:spacing w:line="560" w:lineRule="exact"/>
        <w:ind w:firstLine="640" w:firstLineChars="20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1.</w:t>
      </w:r>
      <w:r>
        <w:rPr>
          <w:rFonts w:hint="eastAsia" w:ascii="仿宋_GB2312" w:eastAsia="仿宋_GB2312"/>
          <w:b w:val="0"/>
          <w:bCs w:val="0"/>
          <w:color w:val="auto"/>
          <w:sz w:val="32"/>
          <w:szCs w:val="32"/>
          <w:highlight w:val="none"/>
        </w:rPr>
        <w:t>财政拨款收入：指单位从同级财政部门取得的财政预算资金。</w:t>
      </w:r>
    </w:p>
    <w:p>
      <w:pPr>
        <w:pStyle w:val="28"/>
        <w:spacing w:line="560" w:lineRule="exact"/>
        <w:ind w:firstLine="640" w:firstLineChars="20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2.</w:t>
      </w:r>
      <w:r>
        <w:rPr>
          <w:rFonts w:hint="eastAsia" w:ascii="仿宋_GB2312" w:eastAsia="仿宋_GB2312"/>
          <w:b w:val="0"/>
          <w:bCs w:val="0"/>
          <w:color w:val="auto"/>
          <w:sz w:val="32"/>
          <w:szCs w:val="32"/>
          <w:highlight w:val="none"/>
        </w:rPr>
        <w:t>事业收入：指事业单位开展专业业务活动及辅助活动取得的收入。</w:t>
      </w:r>
    </w:p>
    <w:p>
      <w:pPr>
        <w:pStyle w:val="28"/>
        <w:spacing w:line="560" w:lineRule="exact"/>
        <w:ind w:firstLine="640" w:firstLineChars="200"/>
        <w:rPr>
          <w:rFonts w:hint="eastAsia"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3.</w:t>
      </w:r>
      <w:r>
        <w:rPr>
          <w:rFonts w:hint="eastAsia" w:ascii="仿宋_GB2312" w:eastAsia="仿宋_GB2312"/>
          <w:b w:val="0"/>
          <w:bCs w:val="0"/>
          <w:color w:val="auto"/>
          <w:sz w:val="32"/>
          <w:szCs w:val="32"/>
          <w:highlight w:val="none"/>
        </w:rPr>
        <w:t>经营收入：指事业单位在专业业务活动及其辅助活动之外开展非独立核算经营活动取得的收入。</w:t>
      </w:r>
    </w:p>
    <w:p>
      <w:pPr>
        <w:pStyle w:val="28"/>
        <w:spacing w:line="560" w:lineRule="exact"/>
        <w:ind w:firstLine="640" w:firstLineChars="200"/>
        <w:rPr>
          <w:rFonts w:hint="eastAsia" w:ascii="仿宋_GB2312" w:eastAsia="仿宋_GB2312"/>
          <w:b w:val="0"/>
          <w:bCs w:val="0"/>
          <w:color w:val="auto"/>
          <w:sz w:val="32"/>
          <w:szCs w:val="32"/>
          <w:highlight w:val="none"/>
          <w:lang w:eastAsia="zh-CN"/>
        </w:rPr>
      </w:pPr>
      <w:r>
        <w:rPr>
          <w:rFonts w:ascii="仿宋_GB2312" w:eastAsia="仿宋_GB2312"/>
          <w:b w:val="0"/>
          <w:bCs w:val="0"/>
          <w:color w:val="auto"/>
          <w:sz w:val="32"/>
          <w:szCs w:val="32"/>
          <w:highlight w:val="none"/>
        </w:rPr>
        <w:t>4.</w:t>
      </w:r>
      <w:r>
        <w:rPr>
          <w:rFonts w:hint="eastAsia" w:ascii="仿宋_GB2312" w:eastAsia="仿宋_GB2312"/>
          <w:b w:val="0"/>
          <w:bCs w:val="0"/>
          <w:color w:val="auto"/>
          <w:sz w:val="32"/>
          <w:szCs w:val="32"/>
          <w:highlight w:val="none"/>
        </w:rPr>
        <w:t>其他收入：指单位取得的除上述收入以外的各项收入</w:t>
      </w:r>
      <w:r>
        <w:rPr>
          <w:rFonts w:hint="eastAsia" w:ascii="仿宋_GB2312" w:eastAsia="仿宋_GB2312"/>
          <w:b w:val="0"/>
          <w:bCs w:val="0"/>
          <w:color w:val="auto"/>
          <w:sz w:val="32"/>
          <w:szCs w:val="32"/>
          <w:highlight w:val="none"/>
          <w:lang w:eastAsia="zh-CN"/>
        </w:rPr>
        <w:t>。</w:t>
      </w:r>
    </w:p>
    <w:p>
      <w:pPr>
        <w:pStyle w:val="28"/>
        <w:spacing w:line="560" w:lineRule="exact"/>
        <w:ind w:firstLine="640" w:firstLineChars="20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5.</w:t>
      </w:r>
      <w:r>
        <w:rPr>
          <w:rFonts w:hint="eastAsia" w:ascii="仿宋_GB2312" w:eastAsia="仿宋_GB2312"/>
          <w:b w:val="0"/>
          <w:bCs w:val="0"/>
          <w:color w:val="auto"/>
          <w:sz w:val="32"/>
          <w:szCs w:val="32"/>
          <w:highlight w:val="none"/>
          <w:lang w:eastAsia="zh-CN"/>
        </w:rPr>
        <w:t>使用非财政拨款结余</w:t>
      </w:r>
      <w:r>
        <w:rPr>
          <w:rFonts w:hint="eastAsia" w:ascii="仿宋_GB2312" w:eastAsia="仿宋_GB2312"/>
          <w:b w:val="0"/>
          <w:bCs w:val="0"/>
          <w:color w:val="auto"/>
          <w:sz w:val="32"/>
          <w:szCs w:val="32"/>
          <w:highlight w:val="none"/>
        </w:rPr>
        <w:t>：指事业单位</w:t>
      </w:r>
      <w:r>
        <w:rPr>
          <w:rFonts w:hint="eastAsia" w:ascii="仿宋_GB2312" w:eastAsia="仿宋_GB2312"/>
          <w:b w:val="0"/>
          <w:bCs w:val="0"/>
          <w:color w:val="auto"/>
          <w:sz w:val="32"/>
          <w:szCs w:val="32"/>
          <w:highlight w:val="none"/>
          <w:lang w:eastAsia="zh-CN"/>
        </w:rPr>
        <w:t>使用以前年度积累的非财政拨款结余弥补当年收支差额的金额。</w:t>
      </w:r>
      <w:r>
        <w:rPr>
          <w:rFonts w:ascii="仿宋_GB2312" w:eastAsia="仿宋_GB2312"/>
          <w:b w:val="0"/>
          <w:bCs w:val="0"/>
          <w:color w:val="auto"/>
          <w:sz w:val="32"/>
          <w:szCs w:val="32"/>
          <w:highlight w:val="none"/>
        </w:rPr>
        <w:t xml:space="preserve"> </w:t>
      </w:r>
    </w:p>
    <w:p>
      <w:pPr>
        <w:pStyle w:val="28"/>
        <w:spacing w:line="560" w:lineRule="exact"/>
        <w:ind w:firstLine="640" w:firstLineChars="20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6.</w:t>
      </w:r>
      <w:r>
        <w:rPr>
          <w:rFonts w:hint="eastAsia" w:ascii="仿宋_GB2312" w:eastAsia="仿宋_GB2312"/>
          <w:b w:val="0"/>
          <w:bCs w:val="0"/>
          <w:color w:val="auto"/>
          <w:sz w:val="32"/>
          <w:szCs w:val="32"/>
          <w:highlight w:val="none"/>
        </w:rPr>
        <w:t>年初结转和结余：指以前年度尚未完成、结转到本年按有关规定继续使用的资金。</w:t>
      </w:r>
      <w:r>
        <w:rPr>
          <w:rFonts w:ascii="仿宋_GB2312" w:eastAsia="仿宋_GB2312"/>
          <w:b w:val="0"/>
          <w:bCs w:val="0"/>
          <w:color w:val="auto"/>
          <w:sz w:val="32"/>
          <w:szCs w:val="32"/>
          <w:highlight w:val="none"/>
        </w:rPr>
        <w:t xml:space="preserve"> </w:t>
      </w:r>
    </w:p>
    <w:p>
      <w:pPr>
        <w:pStyle w:val="28"/>
        <w:spacing w:line="560" w:lineRule="exact"/>
        <w:ind w:firstLine="640" w:firstLineChars="20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7.</w:t>
      </w:r>
      <w:r>
        <w:rPr>
          <w:rFonts w:hint="eastAsia" w:ascii="仿宋_GB2312" w:eastAsia="仿宋_GB2312"/>
          <w:b w:val="0"/>
          <w:bCs w:val="0"/>
          <w:color w:val="auto"/>
          <w:sz w:val="32"/>
          <w:szCs w:val="32"/>
          <w:highlight w:val="none"/>
        </w:rPr>
        <w:t>结余分配：指事业单位按照会计制度规定</w:t>
      </w:r>
      <w:r>
        <w:rPr>
          <w:rFonts w:hint="eastAsia" w:ascii="仿宋_GB2312" w:eastAsia="仿宋_GB2312"/>
          <w:b w:val="0"/>
          <w:bCs w:val="0"/>
          <w:color w:val="auto"/>
          <w:sz w:val="32"/>
          <w:szCs w:val="32"/>
          <w:highlight w:val="none"/>
          <w:lang w:eastAsia="zh-CN"/>
        </w:rPr>
        <w:t>缴纳的所得税、提取的专用结余以及转入非财政拨款结余的金额</w:t>
      </w:r>
      <w:r>
        <w:rPr>
          <w:rFonts w:hint="eastAsia" w:ascii="仿宋_GB2312" w:eastAsia="仿宋_GB2312"/>
          <w:b w:val="0"/>
          <w:bCs w:val="0"/>
          <w:color w:val="auto"/>
          <w:sz w:val="32"/>
          <w:szCs w:val="32"/>
          <w:highlight w:val="none"/>
        </w:rPr>
        <w:t>等。</w:t>
      </w:r>
    </w:p>
    <w:p>
      <w:pPr>
        <w:pStyle w:val="28"/>
        <w:spacing w:line="560" w:lineRule="exact"/>
        <w:ind w:firstLine="640" w:firstLineChars="200"/>
        <w:rPr>
          <w:rFonts w:ascii="仿宋_GB2312" w:eastAsia="仿宋_GB2312"/>
          <w:b w:val="0"/>
          <w:bCs w:val="0"/>
          <w:color w:val="auto"/>
          <w:sz w:val="32"/>
          <w:szCs w:val="32"/>
          <w:highlight w:val="none"/>
        </w:rPr>
      </w:pPr>
      <w:r>
        <w:rPr>
          <w:rFonts w:ascii="仿宋_GB2312" w:eastAsia="仿宋_GB2312"/>
          <w:b w:val="0"/>
          <w:bCs w:val="0"/>
          <w:color w:val="auto"/>
          <w:sz w:val="32"/>
          <w:szCs w:val="32"/>
          <w:highlight w:val="none"/>
        </w:rPr>
        <w:t>8</w:t>
      </w:r>
      <w:r>
        <w:rPr>
          <w:rFonts w:hint="eastAsia" w:ascii="仿宋_GB2312" w:eastAsia="仿宋_GB2312"/>
          <w:b w:val="0"/>
          <w:bCs w:val="0"/>
          <w:color w:val="auto"/>
          <w:sz w:val="32"/>
          <w:szCs w:val="32"/>
          <w:highlight w:val="none"/>
          <w:lang w:val="en-US" w:eastAsia="zh-CN"/>
        </w:rPr>
        <w:t>.</w:t>
      </w:r>
      <w:r>
        <w:rPr>
          <w:rFonts w:hint="eastAsia" w:ascii="仿宋_GB2312" w:eastAsia="仿宋_GB2312"/>
          <w:b w:val="0"/>
          <w:bCs w:val="0"/>
          <w:color w:val="auto"/>
          <w:sz w:val="32"/>
          <w:szCs w:val="32"/>
          <w:highlight w:val="none"/>
        </w:rPr>
        <w:t>年末结转和结余：指单位按有关规定结转到下年或以后年度继续使用的资金。</w:t>
      </w:r>
    </w:p>
    <w:p>
      <w:pPr>
        <w:spacing w:line="578" w:lineRule="exact"/>
        <w:ind w:firstLine="640" w:firstLineChars="200"/>
        <w:rPr>
          <w:rFonts w:ascii="仿宋_GB2312" w:hAnsi="仿宋_GB2312" w:eastAsia="仿宋_GB2312" w:cs="仿宋_GB2312"/>
          <w:b w:val="0"/>
          <w:bCs w:val="0"/>
          <w:color w:val="auto"/>
          <w:sz w:val="32"/>
          <w:szCs w:val="32"/>
        </w:rPr>
      </w:pPr>
      <w:r>
        <w:rPr>
          <w:rFonts w:hint="eastAsia" w:ascii="仿宋_GB2312" w:hAnsi="Calibri" w:eastAsia="仿宋_GB2312" w:cs="仿宋"/>
          <w:b w:val="0"/>
          <w:bCs w:val="0"/>
          <w:color w:val="auto"/>
          <w:kern w:val="0"/>
          <w:sz w:val="32"/>
          <w:szCs w:val="32"/>
          <w:highlight w:val="none"/>
          <w:lang w:val="en-US" w:eastAsia="zh-CN" w:bidi="ar-SA"/>
        </w:rPr>
        <w:t>9.</w:t>
      </w:r>
      <w:r>
        <w:rPr>
          <w:rFonts w:hint="eastAsia" w:ascii="仿宋" w:hAnsi="仿宋" w:eastAsia="仿宋" w:cs="宋体"/>
          <w:b w:val="0"/>
          <w:bCs w:val="0"/>
          <w:color w:val="auto"/>
          <w:kern w:val="0"/>
          <w:sz w:val="32"/>
          <w:szCs w:val="32"/>
        </w:rPr>
        <w:t>一般公共服务支出（类）民主党派及工商联事务（款）行政运行（项）（2012801）</w:t>
      </w:r>
      <w:r>
        <w:rPr>
          <w:rFonts w:hint="eastAsia" w:ascii="仿宋_GB2312" w:hAnsi="仿宋_GB2312" w:eastAsia="仿宋_GB2312" w:cs="仿宋_GB2312"/>
          <w:b w:val="0"/>
          <w:bCs w:val="0"/>
          <w:color w:val="auto"/>
          <w:sz w:val="32"/>
          <w:szCs w:val="32"/>
        </w:rPr>
        <w:t>: 指行政单位（包括实行公务员管理的事业单位）的基本支出。</w:t>
      </w:r>
    </w:p>
    <w:p>
      <w:pPr>
        <w:pageBreakBefore w:val="0"/>
        <w:numPr>
          <w:ilvl w:val="0"/>
          <w:numId w:val="0"/>
        </w:numPr>
        <w:kinsoku/>
        <w:wordWrap/>
        <w:overflowPunct/>
        <w:topLinePunct w:val="0"/>
        <w:bidi w:val="0"/>
        <w:spacing w:line="578" w:lineRule="exact"/>
        <w:ind w:firstLine="640" w:firstLineChars="200"/>
        <w:rPr>
          <w:rFonts w:hint="default" w:ascii="仿宋_GB2312" w:hAnsi="Calibri" w:eastAsia="仿宋_GB2312" w:cs="仿宋"/>
          <w:b w:val="0"/>
          <w:bCs w:val="0"/>
          <w:color w:val="auto"/>
          <w:kern w:val="0"/>
          <w:sz w:val="32"/>
          <w:szCs w:val="32"/>
          <w:highlight w:val="none"/>
          <w:lang w:val="en-US" w:eastAsia="zh-CN" w:bidi="ar-SA"/>
        </w:rPr>
      </w:pPr>
      <w:r>
        <w:rPr>
          <w:rFonts w:hint="eastAsia" w:ascii="仿宋_GB2312" w:hAnsi="Calibri" w:eastAsia="仿宋_GB2312" w:cs="仿宋"/>
          <w:b w:val="0"/>
          <w:bCs w:val="0"/>
          <w:color w:val="auto"/>
          <w:kern w:val="0"/>
          <w:sz w:val="32"/>
          <w:szCs w:val="32"/>
          <w:highlight w:val="none"/>
          <w:lang w:val="en-US" w:eastAsia="zh-CN" w:bidi="ar-SA"/>
        </w:rPr>
        <w:t>10.</w:t>
      </w:r>
      <w:r>
        <w:rPr>
          <w:rFonts w:hint="default" w:ascii="仿宋_GB2312" w:hAnsi="Calibri" w:eastAsia="仿宋_GB2312" w:cs="仿宋"/>
          <w:b w:val="0"/>
          <w:bCs w:val="0"/>
          <w:color w:val="auto"/>
          <w:kern w:val="0"/>
          <w:sz w:val="32"/>
          <w:szCs w:val="32"/>
          <w:highlight w:val="none"/>
          <w:lang w:val="en-US" w:eastAsia="zh-CN" w:bidi="ar-SA"/>
        </w:rPr>
        <w:t>一般公共服务（类）</w:t>
      </w:r>
      <w:r>
        <w:rPr>
          <w:rFonts w:hint="eastAsia" w:ascii="仿宋" w:hAnsi="仿宋" w:eastAsia="仿宋" w:cs="宋体"/>
          <w:b w:val="0"/>
          <w:bCs w:val="0"/>
          <w:color w:val="auto"/>
          <w:kern w:val="0"/>
          <w:sz w:val="32"/>
          <w:szCs w:val="32"/>
        </w:rPr>
        <w:t>民主党派及工商联事务</w:t>
      </w:r>
      <w:r>
        <w:rPr>
          <w:rFonts w:hint="default" w:ascii="仿宋_GB2312" w:hAnsi="Calibri" w:eastAsia="仿宋_GB2312" w:cs="仿宋"/>
          <w:b w:val="0"/>
          <w:bCs w:val="0"/>
          <w:color w:val="auto"/>
          <w:kern w:val="0"/>
          <w:sz w:val="32"/>
          <w:szCs w:val="32"/>
          <w:highlight w:val="none"/>
          <w:lang w:val="en-US" w:eastAsia="zh-CN" w:bidi="ar-SA"/>
        </w:rPr>
        <w:t>（款）一般行政管理事务（项）（2012</w:t>
      </w:r>
      <w:r>
        <w:rPr>
          <w:rFonts w:hint="eastAsia" w:ascii="仿宋_GB2312" w:hAnsi="Calibri" w:eastAsia="仿宋_GB2312" w:cs="仿宋"/>
          <w:b w:val="0"/>
          <w:bCs w:val="0"/>
          <w:color w:val="auto"/>
          <w:kern w:val="0"/>
          <w:sz w:val="32"/>
          <w:szCs w:val="32"/>
          <w:highlight w:val="none"/>
          <w:lang w:val="en-US" w:eastAsia="zh-CN" w:bidi="ar-SA"/>
        </w:rPr>
        <w:t>8</w:t>
      </w:r>
      <w:r>
        <w:rPr>
          <w:rFonts w:hint="default" w:ascii="仿宋_GB2312" w:hAnsi="Calibri" w:eastAsia="仿宋_GB2312" w:cs="仿宋"/>
          <w:b w:val="0"/>
          <w:bCs w:val="0"/>
          <w:color w:val="auto"/>
          <w:kern w:val="0"/>
          <w:sz w:val="32"/>
          <w:szCs w:val="32"/>
          <w:highlight w:val="none"/>
          <w:lang w:val="en-US" w:eastAsia="zh-CN" w:bidi="ar-SA"/>
        </w:rPr>
        <w:t>02）:指行政单位（包括实行公务员管理的事业单位）未单独设置项级科目的其他项目支出。</w:t>
      </w:r>
    </w:p>
    <w:p>
      <w:pPr>
        <w:pageBreakBefore w:val="0"/>
        <w:numPr>
          <w:ilvl w:val="0"/>
          <w:numId w:val="0"/>
        </w:numPr>
        <w:kinsoku/>
        <w:wordWrap/>
        <w:overflowPunct/>
        <w:topLinePunct w:val="0"/>
        <w:bidi w:val="0"/>
        <w:spacing w:line="578" w:lineRule="exact"/>
        <w:ind w:firstLine="640" w:firstLineChars="200"/>
        <w:rPr>
          <w:rFonts w:hint="default" w:ascii="Times New Roman" w:hAnsi="Times New Roman" w:eastAsia="仿宋" w:cs="Times New Roman"/>
          <w:b w:val="0"/>
          <w:bCs w:val="0"/>
          <w:color w:val="auto"/>
          <w:sz w:val="32"/>
          <w:szCs w:val="32"/>
        </w:rPr>
      </w:pPr>
      <w:r>
        <w:rPr>
          <w:rFonts w:hint="eastAsia" w:eastAsia="仿宋" w:cs="Times New Roman"/>
          <w:b w:val="0"/>
          <w:bCs w:val="0"/>
          <w:color w:val="auto"/>
          <w:sz w:val="32"/>
          <w:szCs w:val="32"/>
          <w:lang w:val="en-US" w:eastAsia="zh-CN"/>
        </w:rPr>
        <w:t>11.</w:t>
      </w:r>
      <w:r>
        <w:rPr>
          <w:rFonts w:hint="default" w:ascii="Times New Roman" w:hAnsi="Times New Roman" w:eastAsia="仿宋" w:cs="Times New Roman"/>
          <w:b w:val="0"/>
          <w:bCs w:val="0"/>
          <w:color w:val="auto"/>
          <w:sz w:val="32"/>
          <w:szCs w:val="32"/>
        </w:rPr>
        <w:t>社会保障和就业支出（类）行政事业单位离退休（款）机关事业单位基本养老保险缴费支出（项）（2080505）：指机关事业单位实施养老保险制度由单位缴纳的基本养老保险支出。</w:t>
      </w:r>
    </w:p>
    <w:p>
      <w:pPr>
        <w:ind w:firstLine="640" w:firstLineChars="200"/>
        <w:rPr>
          <w:rStyle w:val="18"/>
          <w:rFonts w:ascii="仿宋" w:hAnsi="仿宋" w:eastAsia="仿宋"/>
          <w:b w:val="0"/>
          <w:bCs w:val="0"/>
          <w:color w:val="auto"/>
          <w:sz w:val="32"/>
          <w:szCs w:val="32"/>
          <w:highlight w:val="none"/>
        </w:rPr>
      </w:pPr>
      <w:r>
        <w:rPr>
          <w:rStyle w:val="18"/>
          <w:rFonts w:hint="eastAsia" w:ascii="仿宋" w:hAnsi="仿宋" w:eastAsia="仿宋"/>
          <w:b w:val="0"/>
          <w:bCs w:val="0"/>
          <w:color w:val="auto"/>
          <w:sz w:val="32"/>
          <w:szCs w:val="32"/>
          <w:highlight w:val="none"/>
          <w:lang w:val="en-US" w:eastAsia="zh-CN"/>
        </w:rPr>
        <w:t>12</w:t>
      </w:r>
      <w:r>
        <w:rPr>
          <w:rStyle w:val="18"/>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w:t>
      </w:r>
      <w:r>
        <w:rPr>
          <w:rStyle w:val="18"/>
          <w:rFonts w:hint="eastAsia" w:ascii="仿宋" w:hAnsi="仿宋" w:eastAsia="仿宋"/>
          <w:b w:val="0"/>
          <w:bCs w:val="0"/>
          <w:color w:val="auto"/>
          <w:sz w:val="32"/>
          <w:szCs w:val="32"/>
          <w:highlight w:val="none"/>
        </w:rPr>
        <w:t>（类）行政事业单位医疗（款）行政单位医疗（项）</w:t>
      </w:r>
      <w:r>
        <w:rPr>
          <w:rStyle w:val="18"/>
          <w:rFonts w:hint="eastAsia" w:ascii="仿宋" w:hAnsi="仿宋" w:eastAsia="仿宋"/>
          <w:b w:val="0"/>
          <w:bCs w:val="0"/>
          <w:color w:val="auto"/>
          <w:sz w:val="32"/>
          <w:szCs w:val="32"/>
          <w:highlight w:val="none"/>
          <w:lang w:eastAsia="zh-CN"/>
        </w:rPr>
        <w:t>（</w:t>
      </w:r>
      <w:r>
        <w:rPr>
          <w:rStyle w:val="18"/>
          <w:rFonts w:hint="eastAsia" w:ascii="仿宋" w:hAnsi="仿宋" w:eastAsia="仿宋"/>
          <w:b w:val="0"/>
          <w:bCs w:val="0"/>
          <w:color w:val="auto"/>
          <w:sz w:val="32"/>
          <w:szCs w:val="32"/>
          <w:highlight w:val="none"/>
          <w:lang w:val="en-US" w:eastAsia="zh-CN"/>
        </w:rPr>
        <w:t>2101101）</w:t>
      </w:r>
      <w:r>
        <w:rPr>
          <w:rStyle w:val="18"/>
          <w:rFonts w:ascii="仿宋" w:hAnsi="仿宋" w:eastAsia="仿宋"/>
          <w:b w:val="0"/>
          <w:bCs w:val="0"/>
          <w:color w:val="auto"/>
          <w:sz w:val="32"/>
          <w:szCs w:val="32"/>
          <w:highlight w:val="none"/>
        </w:rPr>
        <w:t>:</w:t>
      </w:r>
      <w:r>
        <w:rPr>
          <w:rFonts w:hint="default" w:ascii="Times New Roman" w:hAnsi="Times New Roman" w:eastAsia="仿宋" w:cs="Times New Roman"/>
          <w:b w:val="0"/>
          <w:bCs w:val="0"/>
          <w:color w:val="auto"/>
          <w:sz w:val="32"/>
          <w:szCs w:val="32"/>
        </w:rPr>
        <w:t>指财政部门集中安排的行政单位基本医疗保险缴费经费。</w:t>
      </w:r>
    </w:p>
    <w:p>
      <w:pPr>
        <w:ind w:firstLine="640" w:firstLineChars="200"/>
        <w:rPr>
          <w:b w:val="0"/>
          <w:bCs w:val="0"/>
          <w:color w:val="auto"/>
        </w:rPr>
      </w:pPr>
      <w:r>
        <w:rPr>
          <w:rStyle w:val="18"/>
          <w:rFonts w:hint="eastAsia" w:ascii="仿宋" w:hAnsi="仿宋" w:eastAsia="仿宋"/>
          <w:b w:val="0"/>
          <w:bCs w:val="0"/>
          <w:color w:val="auto"/>
          <w:sz w:val="32"/>
          <w:szCs w:val="32"/>
          <w:highlight w:val="none"/>
          <w:lang w:val="en-US" w:eastAsia="zh-CN"/>
        </w:rPr>
        <w:t>13</w:t>
      </w:r>
      <w:r>
        <w:rPr>
          <w:rStyle w:val="18"/>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w:t>
      </w:r>
      <w:r>
        <w:rPr>
          <w:rStyle w:val="18"/>
          <w:rFonts w:hint="eastAsia" w:ascii="仿宋" w:hAnsi="仿宋" w:eastAsia="仿宋"/>
          <w:b w:val="0"/>
          <w:bCs w:val="0"/>
          <w:color w:val="auto"/>
          <w:sz w:val="32"/>
          <w:szCs w:val="32"/>
          <w:highlight w:val="none"/>
        </w:rPr>
        <w:t>（类）行政事业单位医疗（款）公务员医疗补助（项）</w:t>
      </w:r>
      <w:r>
        <w:rPr>
          <w:rStyle w:val="18"/>
          <w:rFonts w:hint="eastAsia" w:ascii="仿宋" w:hAnsi="仿宋" w:eastAsia="仿宋"/>
          <w:b w:val="0"/>
          <w:bCs w:val="0"/>
          <w:color w:val="auto"/>
          <w:sz w:val="32"/>
          <w:szCs w:val="32"/>
          <w:highlight w:val="none"/>
          <w:lang w:eastAsia="zh-CN"/>
        </w:rPr>
        <w:t>（</w:t>
      </w:r>
      <w:r>
        <w:rPr>
          <w:rStyle w:val="18"/>
          <w:rFonts w:hint="eastAsia" w:ascii="仿宋" w:hAnsi="仿宋" w:eastAsia="仿宋"/>
          <w:b w:val="0"/>
          <w:bCs w:val="0"/>
          <w:color w:val="auto"/>
          <w:sz w:val="32"/>
          <w:szCs w:val="32"/>
          <w:highlight w:val="none"/>
          <w:lang w:val="en-US" w:eastAsia="zh-CN"/>
        </w:rPr>
        <w:t>2101103）</w:t>
      </w:r>
      <w:r>
        <w:rPr>
          <w:rStyle w:val="18"/>
          <w:rFonts w:ascii="仿宋" w:hAnsi="仿宋" w:eastAsia="仿宋"/>
          <w:b w:val="0"/>
          <w:bCs w:val="0"/>
          <w:color w:val="auto"/>
          <w:sz w:val="32"/>
          <w:szCs w:val="32"/>
          <w:highlight w:val="none"/>
        </w:rPr>
        <w:t>:</w:t>
      </w:r>
      <w:r>
        <w:rPr>
          <w:rStyle w:val="18"/>
          <w:rFonts w:hint="eastAsia" w:ascii="仿宋" w:hAnsi="仿宋" w:eastAsia="仿宋"/>
          <w:b w:val="0"/>
          <w:bCs w:val="0"/>
          <w:color w:val="auto"/>
          <w:sz w:val="32"/>
          <w:szCs w:val="32"/>
          <w:highlight w:val="none"/>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ageBreakBefore w:val="0"/>
        <w:numPr>
          <w:ilvl w:val="0"/>
          <w:numId w:val="0"/>
        </w:numPr>
        <w:kinsoku/>
        <w:wordWrap/>
        <w:overflowPunct/>
        <w:topLinePunct w:val="0"/>
        <w:bidi w:val="0"/>
        <w:spacing w:line="578" w:lineRule="exact"/>
        <w:ind w:firstLine="640" w:firstLineChars="200"/>
        <w:rPr>
          <w:rFonts w:hint="default" w:ascii="Times New Roman" w:hAnsi="Times New Roman" w:eastAsia="仿宋" w:cs="Times New Roman"/>
          <w:b w:val="0"/>
          <w:bCs w:val="0"/>
          <w:color w:val="auto"/>
          <w:sz w:val="32"/>
          <w:szCs w:val="32"/>
        </w:rPr>
      </w:pPr>
      <w:r>
        <w:rPr>
          <w:rStyle w:val="18"/>
          <w:rFonts w:hint="eastAsia" w:ascii="仿宋" w:hAnsi="仿宋" w:eastAsia="仿宋"/>
          <w:b w:val="0"/>
          <w:bCs w:val="0"/>
          <w:color w:val="auto"/>
          <w:sz w:val="32"/>
          <w:szCs w:val="32"/>
          <w:highlight w:val="none"/>
          <w:lang w:val="en-US" w:eastAsia="zh-CN"/>
        </w:rPr>
        <w:t>14</w:t>
      </w:r>
      <w:r>
        <w:rPr>
          <w:rStyle w:val="18"/>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住房保障支出</w:t>
      </w:r>
      <w:r>
        <w:rPr>
          <w:rStyle w:val="18"/>
          <w:rFonts w:hint="eastAsia" w:ascii="仿宋" w:hAnsi="仿宋" w:eastAsia="仿宋"/>
          <w:b w:val="0"/>
          <w:bCs w:val="0"/>
          <w:color w:val="auto"/>
          <w:sz w:val="32"/>
          <w:szCs w:val="32"/>
          <w:highlight w:val="none"/>
        </w:rPr>
        <w:t>（类）住房改革支出（款） 住房公积金（项）</w:t>
      </w:r>
      <w:r>
        <w:rPr>
          <w:rStyle w:val="18"/>
          <w:rFonts w:hint="eastAsia" w:ascii="仿宋" w:hAnsi="仿宋" w:eastAsia="仿宋"/>
          <w:b w:val="0"/>
          <w:bCs w:val="0"/>
          <w:color w:val="auto"/>
          <w:sz w:val="32"/>
          <w:szCs w:val="32"/>
          <w:highlight w:val="none"/>
          <w:lang w:eastAsia="zh-CN"/>
        </w:rPr>
        <w:t>（</w:t>
      </w:r>
      <w:r>
        <w:rPr>
          <w:rStyle w:val="18"/>
          <w:rFonts w:hint="eastAsia" w:ascii="仿宋" w:hAnsi="仿宋" w:eastAsia="仿宋"/>
          <w:b w:val="0"/>
          <w:bCs w:val="0"/>
          <w:color w:val="auto"/>
          <w:sz w:val="32"/>
          <w:szCs w:val="32"/>
          <w:highlight w:val="none"/>
          <w:lang w:val="en-US" w:eastAsia="zh-CN"/>
        </w:rPr>
        <w:t>2210201）</w:t>
      </w:r>
      <w:r>
        <w:rPr>
          <w:rStyle w:val="18"/>
          <w:rFonts w:ascii="仿宋" w:hAnsi="仿宋" w:eastAsia="仿宋"/>
          <w:b w:val="0"/>
          <w:bCs w:val="0"/>
          <w:color w:val="auto"/>
          <w:sz w:val="32"/>
          <w:szCs w:val="32"/>
          <w:highlight w:val="none"/>
        </w:rPr>
        <w:t>:</w:t>
      </w:r>
      <w:r>
        <w:rPr>
          <w:rFonts w:hint="default" w:ascii="Times New Roman" w:hAnsi="Times New Roman" w:eastAsia="仿宋" w:cs="Times New Roman"/>
          <w:b w:val="0"/>
          <w:bCs w:val="0"/>
          <w:color w:val="auto"/>
          <w:sz w:val="32"/>
          <w:szCs w:val="32"/>
        </w:rPr>
        <w:t>指行政事业单位按人力资源和社会保障部、财政部规定的基本工资和津贴补贴以及规定比例为职工缴纳的住房公积金。</w:t>
      </w:r>
    </w:p>
    <w:p>
      <w:pPr>
        <w:pageBreakBefore w:val="0"/>
        <w:numPr>
          <w:ilvl w:val="0"/>
          <w:numId w:val="0"/>
        </w:numPr>
        <w:kinsoku/>
        <w:wordWrap/>
        <w:overflowPunct/>
        <w:topLinePunct w:val="0"/>
        <w:bidi w:val="0"/>
        <w:spacing w:line="578" w:lineRule="exact"/>
        <w:ind w:firstLine="640" w:firstLineChars="200"/>
        <w:rPr>
          <w:rFonts w:hint="default" w:ascii="Times New Roman" w:hAnsi="Times New Roman" w:eastAsia="仿宋" w:cs="Times New Roman"/>
          <w:b w:val="0"/>
          <w:bCs w:val="0"/>
          <w:color w:val="auto"/>
          <w:sz w:val="32"/>
          <w:szCs w:val="32"/>
        </w:rPr>
      </w:pPr>
      <w:r>
        <w:rPr>
          <w:rFonts w:hint="eastAsia" w:eastAsia="仿宋" w:cs="Times New Roman"/>
          <w:b w:val="0"/>
          <w:bCs w:val="0"/>
          <w:color w:val="auto"/>
          <w:sz w:val="32"/>
          <w:szCs w:val="32"/>
          <w:lang w:val="en-US" w:eastAsia="zh-CN"/>
        </w:rPr>
        <w:t>15.</w:t>
      </w:r>
      <w:r>
        <w:rPr>
          <w:rFonts w:hint="default" w:ascii="Times New Roman" w:hAnsi="Times New Roman" w:eastAsia="仿宋" w:cs="Times New Roman"/>
          <w:b w:val="0"/>
          <w:bCs w:val="0"/>
          <w:color w:val="auto"/>
          <w:sz w:val="32"/>
          <w:szCs w:val="32"/>
        </w:rPr>
        <w:t>基本支出：指为保障机构正常运转、完成日常工作任务而发生的人员支出和公用支出。</w:t>
      </w:r>
    </w:p>
    <w:p>
      <w:pPr>
        <w:pageBreakBefore w:val="0"/>
        <w:numPr>
          <w:ilvl w:val="0"/>
          <w:numId w:val="0"/>
        </w:numPr>
        <w:kinsoku/>
        <w:wordWrap/>
        <w:overflowPunct/>
        <w:topLinePunct w:val="0"/>
        <w:bidi w:val="0"/>
        <w:spacing w:line="578" w:lineRule="exact"/>
        <w:ind w:firstLine="640" w:firstLineChars="200"/>
        <w:rPr>
          <w:rFonts w:hint="default" w:ascii="Times New Roman" w:hAnsi="Times New Roman" w:eastAsia="仿宋" w:cs="Times New Roman"/>
          <w:b w:val="0"/>
          <w:bCs w:val="0"/>
          <w:color w:val="auto"/>
          <w:sz w:val="32"/>
          <w:szCs w:val="32"/>
        </w:rPr>
      </w:pPr>
      <w:r>
        <w:rPr>
          <w:rFonts w:hint="eastAsia" w:eastAsia="仿宋" w:cs="Times New Roman"/>
          <w:b w:val="0"/>
          <w:bCs w:val="0"/>
          <w:color w:val="auto"/>
          <w:sz w:val="32"/>
          <w:szCs w:val="32"/>
          <w:lang w:val="en-US" w:eastAsia="zh-CN"/>
        </w:rPr>
        <w:t>16.</w:t>
      </w:r>
      <w:r>
        <w:rPr>
          <w:rFonts w:hint="default" w:ascii="Times New Roman" w:hAnsi="Times New Roman" w:eastAsia="仿宋" w:cs="Times New Roman"/>
          <w:b w:val="0"/>
          <w:bCs w:val="0"/>
          <w:color w:val="auto"/>
          <w:sz w:val="32"/>
          <w:szCs w:val="32"/>
        </w:rPr>
        <w:t xml:space="preserve">项目支出：指在基本支出之外为完成特定行政任务和事业发展目标所发生的支出。 </w:t>
      </w:r>
    </w:p>
    <w:p>
      <w:pPr>
        <w:pageBreakBefore w:val="0"/>
        <w:numPr>
          <w:ilvl w:val="0"/>
          <w:numId w:val="0"/>
        </w:numPr>
        <w:kinsoku/>
        <w:wordWrap/>
        <w:overflowPunct/>
        <w:topLinePunct w:val="0"/>
        <w:bidi w:val="0"/>
        <w:spacing w:line="578" w:lineRule="exact"/>
        <w:ind w:firstLine="640" w:firstLineChars="200"/>
        <w:rPr>
          <w:rFonts w:hint="default" w:ascii="Times New Roman" w:hAnsi="Times New Roman" w:eastAsia="仿宋" w:cs="Times New Roman"/>
          <w:b w:val="0"/>
          <w:bCs w:val="0"/>
          <w:color w:val="auto"/>
          <w:sz w:val="32"/>
          <w:szCs w:val="32"/>
        </w:rPr>
      </w:pPr>
      <w:r>
        <w:rPr>
          <w:rFonts w:hint="eastAsia" w:eastAsia="仿宋" w:cs="Times New Roman"/>
          <w:b w:val="0"/>
          <w:bCs w:val="0"/>
          <w:color w:val="auto"/>
          <w:sz w:val="32"/>
          <w:szCs w:val="32"/>
          <w:lang w:val="en-US" w:eastAsia="zh-CN"/>
        </w:rPr>
        <w:t>17.</w:t>
      </w:r>
      <w:r>
        <w:rPr>
          <w:rFonts w:hint="default" w:ascii="Times New Roman" w:hAnsi="Times New Roman" w:eastAsia="仿宋" w:cs="Times New Roman"/>
          <w:b w:val="0"/>
          <w:bCs w:val="0"/>
          <w:color w:val="auto"/>
          <w:sz w:val="32"/>
          <w:szCs w:val="32"/>
        </w:rPr>
        <w:t>经营支出：指事业单位在专业业务活动及其辅助活动之外开展非独立核算经营活动发生的支出。</w:t>
      </w:r>
    </w:p>
    <w:p>
      <w:pPr>
        <w:pStyle w:val="28"/>
        <w:pageBreakBefore w:val="0"/>
        <w:numPr>
          <w:ilvl w:val="0"/>
          <w:numId w:val="0"/>
        </w:numPr>
        <w:kinsoku/>
        <w:wordWrap/>
        <w:overflowPunct/>
        <w:topLinePunct w:val="0"/>
        <w:bidi w:val="0"/>
        <w:spacing w:line="578" w:lineRule="exact"/>
        <w:ind w:firstLine="640" w:firstLineChars="200"/>
        <w:rPr>
          <w:rFonts w:hint="default" w:ascii="Times New Roman" w:hAnsi="Times New Roman" w:eastAsia="仿宋" w:cs="Times New Roman"/>
          <w:b w:val="0"/>
          <w:bCs w:val="0"/>
          <w:color w:val="auto"/>
          <w:kern w:val="2"/>
          <w:sz w:val="32"/>
          <w:szCs w:val="32"/>
        </w:rPr>
      </w:pPr>
      <w:r>
        <w:rPr>
          <w:rFonts w:hint="eastAsia" w:ascii="Times New Roman" w:hAnsi="Times New Roman" w:cs="Times New Roman"/>
          <w:b w:val="0"/>
          <w:bCs w:val="0"/>
          <w:color w:val="auto"/>
          <w:kern w:val="2"/>
          <w:sz w:val="32"/>
          <w:szCs w:val="32"/>
          <w:lang w:val="en-US" w:eastAsia="zh-CN"/>
        </w:rPr>
        <w:t>18.</w:t>
      </w:r>
      <w:r>
        <w:rPr>
          <w:rFonts w:hint="default" w:ascii="Times New Roman" w:hAnsi="Times New Roman" w:eastAsia="仿宋" w:cs="Times New Roman"/>
          <w:b w:val="0"/>
          <w:bCs w:val="0"/>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2"/>
        <w:ind w:left="0" w:leftChars="0" w:firstLine="640" w:firstLineChars="200"/>
        <w:rPr>
          <w:rFonts w:ascii="仿宋" w:hAnsi="仿宋" w:eastAsia="仿宋"/>
          <w:b w:val="0"/>
          <w:bCs w:val="0"/>
          <w:color w:val="auto"/>
          <w:sz w:val="32"/>
          <w:szCs w:val="32"/>
          <w:highlight w:val="none"/>
        </w:rPr>
      </w:pPr>
      <w:r>
        <w:rPr>
          <w:rFonts w:hint="eastAsia" w:ascii="Times New Roman" w:cs="Times New Roman"/>
          <w:b w:val="0"/>
          <w:bCs w:val="0"/>
          <w:color w:val="auto"/>
          <w:kern w:val="2"/>
          <w:sz w:val="32"/>
          <w:szCs w:val="32"/>
          <w:lang w:val="en-US" w:eastAsia="zh-CN"/>
        </w:rPr>
        <w:t>19</w:t>
      </w:r>
      <w:r>
        <w:rPr>
          <w:rFonts w:hint="eastAsia" w:ascii="Times New Roman" w:hAnsi="Times New Roman" w:cs="Times New Roman"/>
          <w:b w:val="0"/>
          <w:bCs w:val="0"/>
          <w:color w:val="auto"/>
          <w:kern w:val="2"/>
          <w:sz w:val="32"/>
          <w:szCs w:val="32"/>
          <w:lang w:val="en-US" w:eastAsia="zh-CN"/>
        </w:rPr>
        <w:t>.</w:t>
      </w:r>
      <w:r>
        <w:rPr>
          <w:rFonts w:hint="default" w:ascii="Times New Roman" w:hAnsi="Times New Roman" w:eastAsia="仿宋" w:cs="Times New Roman"/>
          <w:b w:val="0"/>
          <w:bCs w:val="0"/>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（名词解释部分请根据各部门实际列支情况罗列，并根据本部门职责职能增减名词解释内容。）</w:t>
      </w:r>
    </w:p>
    <w:p>
      <w:pPr>
        <w:spacing w:line="600" w:lineRule="exact"/>
        <w:jc w:val="center"/>
        <w:outlineLvl w:val="0"/>
        <w:rPr>
          <w:rStyle w:val="30"/>
          <w:rFonts w:hint="eastAsia" w:ascii="黑体" w:hAnsi="黑体" w:eastAsia="黑体"/>
          <w:b w:val="0"/>
          <w:bCs w:val="0"/>
          <w:color w:val="auto"/>
          <w:highlight w:val="none"/>
          <w:lang w:eastAsia="zh-CN"/>
        </w:rPr>
      </w:pPr>
      <w:bookmarkStart w:id="51" w:name="_Toc15377226"/>
      <w:r>
        <w:rPr>
          <w:rFonts w:ascii="宋体"/>
          <w:b w:val="0"/>
          <w:bCs w:val="0"/>
          <w:color w:val="auto"/>
          <w:sz w:val="44"/>
          <w:szCs w:val="44"/>
          <w:highlight w:val="none"/>
        </w:rPr>
        <w:br w:type="page"/>
      </w:r>
      <w:bookmarkStart w:id="52" w:name="_Toc15396614"/>
      <w:r>
        <w:rPr>
          <w:rFonts w:hint="eastAsia" w:ascii="黑体" w:hAnsi="黑体" w:eastAsia="黑体"/>
          <w:b w:val="0"/>
          <w:bCs w:val="0"/>
          <w:color w:val="auto"/>
          <w:sz w:val="44"/>
          <w:szCs w:val="44"/>
          <w:highlight w:val="none"/>
        </w:rPr>
        <w:t>第</w:t>
      </w:r>
      <w:r>
        <w:rPr>
          <w:rStyle w:val="30"/>
          <w:rFonts w:hint="eastAsia" w:ascii="黑体" w:hAnsi="黑体" w:eastAsia="黑体"/>
          <w:b w:val="0"/>
          <w:bCs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b w:val="0"/>
          <w:bCs w:val="0"/>
          <w:color w:val="auto"/>
          <w:sz w:val="44"/>
          <w:szCs w:val="44"/>
          <w:highlight w:val="none"/>
        </w:rPr>
      </w:pPr>
      <w:r>
        <w:rPr>
          <w:rFonts w:hint="eastAsia" w:ascii="黑体" w:hAnsi="黑体" w:eastAsia="黑体" w:cs="黑体"/>
          <w:b w:val="0"/>
          <w:bCs w:val="0"/>
          <w:color w:val="auto"/>
          <w:sz w:val="32"/>
          <w:szCs w:val="32"/>
          <w:highlight w:val="none"/>
        </w:rPr>
        <w:t>附件</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宋体" w:hAnsi="宋体" w:eastAsia="宋体"/>
          <w:b w:val="0"/>
          <w:bCs w:val="0"/>
          <w:color w:val="auto"/>
          <w:sz w:val="32"/>
          <w:szCs w:val="32"/>
          <w:highlight w:val="none"/>
          <w:shd w:val="clear" w:color="auto" w:fill="FFFFFF"/>
        </w:rPr>
      </w:pPr>
      <w:r>
        <w:rPr>
          <w:rFonts w:hint="eastAsia" w:ascii="宋体" w:hAnsi="宋体" w:eastAsia="宋体"/>
          <w:b w:val="0"/>
          <w:bCs w:val="0"/>
          <w:color w:val="auto"/>
          <w:sz w:val="32"/>
          <w:szCs w:val="32"/>
          <w:highlight w:val="none"/>
          <w:shd w:val="clear" w:color="auto" w:fill="FFFFFF"/>
        </w:rPr>
        <w:t>20</w:t>
      </w:r>
      <w:r>
        <w:rPr>
          <w:rFonts w:hint="eastAsia" w:ascii="宋体" w:hAnsi="宋体" w:eastAsia="宋体"/>
          <w:b w:val="0"/>
          <w:bCs w:val="0"/>
          <w:color w:val="auto"/>
          <w:sz w:val="32"/>
          <w:szCs w:val="32"/>
          <w:highlight w:val="none"/>
          <w:shd w:val="clear" w:color="auto" w:fill="FFFFFF"/>
          <w:lang w:val="en-US" w:eastAsia="zh-CN"/>
        </w:rPr>
        <w:t>23</w:t>
      </w:r>
      <w:r>
        <w:rPr>
          <w:rFonts w:hint="eastAsia" w:ascii="宋体" w:hAnsi="宋体" w:eastAsia="宋体"/>
          <w:b w:val="0"/>
          <w:bCs w:val="0"/>
          <w:color w:val="auto"/>
          <w:sz w:val="32"/>
          <w:szCs w:val="32"/>
          <w:highlight w:val="none"/>
          <w:shd w:val="clear" w:color="auto" w:fill="FFFFFF"/>
        </w:rPr>
        <w:t>年</w:t>
      </w:r>
      <w:r>
        <w:rPr>
          <w:rFonts w:hint="eastAsia" w:ascii="宋体" w:hAnsi="宋体"/>
          <w:b w:val="0"/>
          <w:bCs w:val="0"/>
          <w:color w:val="auto"/>
          <w:sz w:val="32"/>
          <w:szCs w:val="32"/>
          <w:highlight w:val="none"/>
          <w:shd w:val="clear" w:color="auto" w:fill="FFFFFF"/>
          <w:lang w:val="en-US" w:eastAsia="zh-CN"/>
        </w:rPr>
        <w:t>泸县</w:t>
      </w:r>
      <w:r>
        <w:rPr>
          <w:rFonts w:hint="eastAsia" w:ascii="宋体" w:hAnsi="宋体" w:eastAsia="宋体"/>
          <w:b w:val="0"/>
          <w:bCs w:val="0"/>
          <w:color w:val="auto"/>
          <w:sz w:val="32"/>
          <w:szCs w:val="32"/>
          <w:highlight w:val="none"/>
          <w:shd w:val="clear" w:color="auto" w:fill="FFFFFF"/>
        </w:rPr>
        <w:t>部门整体绩效评价报告范本</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shd w:val="clear" w:color="auto" w:fill="FFFFFF"/>
        </w:rPr>
        <w:t>（报告范围包括机关和下属单位）</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b w:val="0"/>
          <w:bCs w:val="0"/>
          <w:color w:val="auto"/>
          <w:kern w:val="0"/>
          <w:sz w:val="32"/>
          <w:szCs w:val="32"/>
          <w:highlight w:val="none"/>
          <w:shd w:val="clear" w:color="auto" w:fill="FFFFFF"/>
          <w:lang w:val="zh-CN"/>
        </w:rPr>
      </w:pPr>
      <w:r>
        <w:rPr>
          <w:rFonts w:hint="eastAsia" w:ascii="黑体" w:hAnsi="宋体" w:eastAsia="黑体" w:cs="宋体"/>
          <w:b w:val="0"/>
          <w:bCs w:val="0"/>
          <w:color w:val="auto"/>
          <w:kern w:val="0"/>
          <w:sz w:val="32"/>
          <w:szCs w:val="32"/>
          <w:highlight w:val="none"/>
          <w:shd w:val="clear" w:color="auto" w:fill="FFFFFF"/>
          <w:lang w:val="zh-CN"/>
        </w:rPr>
        <w:t>部门（单位）基本情况</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b w:val="0"/>
          <w:bCs w:val="0"/>
          <w:color w:val="auto"/>
          <w:kern w:val="0"/>
          <w:sz w:val="32"/>
          <w:szCs w:val="32"/>
          <w:shd w:val="clear" w:color="auto" w:fill="FFFFFF"/>
          <w:lang w:val="zh-CN"/>
        </w:rPr>
      </w:pPr>
      <w:r>
        <w:rPr>
          <w:rFonts w:hint="eastAsia" w:ascii="仿宋_GB2312" w:hAnsi="宋体" w:eastAsia="仿宋_GB2312" w:cs="宋体"/>
          <w:b w:val="0"/>
          <w:bCs w:val="0"/>
          <w:color w:val="auto"/>
          <w:kern w:val="0"/>
          <w:sz w:val="32"/>
          <w:szCs w:val="32"/>
          <w:shd w:val="clear" w:color="auto" w:fill="FFFFFF"/>
          <w:lang w:val="zh-CN"/>
        </w:rPr>
        <w:t>（一）机构组成。</w:t>
      </w:r>
      <w:r>
        <w:rPr>
          <w:rFonts w:hint="eastAsia" w:ascii="仿宋_GB2312" w:hAnsi="仿宋" w:eastAsia="仿宋_GB2312" w:cs="仿宋"/>
          <w:b w:val="0"/>
          <w:bCs w:val="0"/>
          <w:color w:val="auto"/>
          <w:sz w:val="32"/>
          <w:szCs w:val="32"/>
          <w:lang w:eastAsia="zh-CN"/>
        </w:rPr>
        <w:t>泸县工商业联合会属一级预算单位，无二级预算单位。现有在职公务员</w:t>
      </w:r>
      <w:r>
        <w:rPr>
          <w:rFonts w:hint="eastAsia" w:ascii="仿宋_GB2312" w:hAnsi="仿宋" w:eastAsia="仿宋_GB2312" w:cs="仿宋"/>
          <w:b w:val="0"/>
          <w:bCs w:val="0"/>
          <w:color w:val="auto"/>
          <w:sz w:val="32"/>
          <w:szCs w:val="32"/>
          <w:lang w:val="en-US" w:eastAsia="zh-CN"/>
        </w:rPr>
        <w:t>5</w:t>
      </w:r>
      <w:r>
        <w:rPr>
          <w:rFonts w:hint="eastAsia" w:ascii="仿宋_GB2312" w:hAnsi="仿宋" w:eastAsia="仿宋_GB2312" w:cs="仿宋"/>
          <w:b w:val="0"/>
          <w:bCs w:val="0"/>
          <w:color w:val="auto"/>
          <w:sz w:val="32"/>
          <w:szCs w:val="32"/>
          <w:lang w:eastAsia="zh-CN"/>
        </w:rPr>
        <w:t>人，事业人员</w:t>
      </w:r>
      <w:r>
        <w:rPr>
          <w:rFonts w:hint="eastAsia" w:ascii="仿宋_GB2312" w:hAnsi="仿宋" w:eastAsia="仿宋_GB2312" w:cs="仿宋"/>
          <w:b w:val="0"/>
          <w:bCs w:val="0"/>
          <w:color w:val="auto"/>
          <w:sz w:val="32"/>
          <w:szCs w:val="32"/>
          <w:lang w:val="en-US" w:eastAsia="zh-CN"/>
        </w:rPr>
        <w:t>2人，</w:t>
      </w:r>
      <w:r>
        <w:rPr>
          <w:rFonts w:hint="eastAsia" w:ascii="仿宋_GB2312" w:hAnsi="仿宋" w:eastAsia="仿宋_GB2312" w:cs="仿宋"/>
          <w:b w:val="0"/>
          <w:bCs w:val="0"/>
          <w:color w:val="auto"/>
          <w:sz w:val="32"/>
          <w:szCs w:val="32"/>
          <w:lang w:eastAsia="zh-CN"/>
        </w:rPr>
        <w:t>退休干部</w:t>
      </w:r>
      <w:r>
        <w:rPr>
          <w:rFonts w:hint="eastAsia" w:ascii="仿宋_GB2312" w:hAnsi="仿宋" w:eastAsia="仿宋_GB2312" w:cs="仿宋"/>
          <w:b w:val="0"/>
          <w:bCs w:val="0"/>
          <w:color w:val="auto"/>
          <w:sz w:val="32"/>
          <w:szCs w:val="32"/>
          <w:lang w:val="en-US" w:eastAsia="zh-CN"/>
        </w:rPr>
        <w:t>3</w:t>
      </w:r>
      <w:r>
        <w:rPr>
          <w:rFonts w:hint="eastAsia" w:ascii="仿宋_GB2312" w:hAnsi="仿宋" w:eastAsia="仿宋_GB2312" w:cs="仿宋"/>
          <w:b w:val="0"/>
          <w:bCs w:val="0"/>
          <w:color w:val="auto"/>
          <w:sz w:val="32"/>
          <w:szCs w:val="32"/>
          <w:lang w:eastAsia="zh-CN"/>
        </w:rPr>
        <w:t>人，内设机构有办公室和会员部。 </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eastAsia" w:ascii="仿宋_GB2312" w:hAnsi="仿宋" w:eastAsia="仿宋_GB2312" w:cs="仿宋"/>
          <w:b w:val="0"/>
          <w:bCs w:val="0"/>
          <w:color w:val="auto"/>
          <w:kern w:val="0"/>
          <w:sz w:val="32"/>
          <w:szCs w:val="32"/>
          <w:lang w:val="en-US" w:eastAsia="zh-CN" w:bidi="ar-SA"/>
        </w:rPr>
      </w:pPr>
      <w:r>
        <w:rPr>
          <w:rFonts w:hint="eastAsia" w:ascii="仿宋_GB2312" w:hAnsi="宋体" w:eastAsia="仿宋_GB2312" w:cs="宋体"/>
          <w:b w:val="0"/>
          <w:bCs w:val="0"/>
          <w:color w:val="auto"/>
          <w:kern w:val="0"/>
          <w:sz w:val="32"/>
          <w:szCs w:val="32"/>
          <w:shd w:val="clear" w:color="auto" w:fill="FFFFFF"/>
          <w:lang w:val="zh-CN"/>
        </w:rPr>
        <w:t>（二）机构职能。</w:t>
      </w:r>
      <w:r>
        <w:rPr>
          <w:rFonts w:hint="eastAsia" w:ascii="仿宋_GB2312" w:hAnsi="仿宋" w:eastAsia="仿宋_GB2312" w:cs="仿宋"/>
          <w:b w:val="0"/>
          <w:bCs w:val="0"/>
          <w:color w:val="auto"/>
          <w:kern w:val="0"/>
          <w:sz w:val="32"/>
          <w:szCs w:val="32"/>
          <w:lang w:val="en-US" w:eastAsia="zh-CN" w:bidi="ar-SA"/>
        </w:rPr>
        <w:t>泸县工商业联合会是在县委、县政府领导下具有统战性、经济性、民间性的群众团体和民间商会，参与政治协商，发挥民主监督的作用；负责工商界代表人士政治安排的推荐工作；引导会员积极参加国家经济建设；做好非公有制经济代表人士的思想政治工作，团结、帮助、引导、教育会员遵守国家的法律、法规和政策，提高会员素质，培养积极分子队伍；代表并维护会员的合法权益，反映会员的意见、要求和建议；为会员提供信息和科技、管理、法律、会计、审计、融资、咨询等服务。</w:t>
      </w:r>
      <w:r>
        <w:rPr>
          <w:rFonts w:hint="eastAsia" w:ascii="仿宋_GB2312" w:hAnsi="宋体" w:eastAsia="仿宋_GB2312" w:cs="宋体"/>
          <w:b w:val="0"/>
          <w:bCs w:val="0"/>
          <w:color w:val="auto"/>
          <w:kern w:val="0"/>
          <w:sz w:val="32"/>
          <w:szCs w:val="32"/>
          <w:shd w:val="clear" w:color="auto" w:fill="FFFFFF"/>
          <w:lang w:val="zh-CN"/>
        </w:rPr>
        <w:t>人员概况。</w:t>
      </w:r>
      <w:r>
        <w:rPr>
          <w:rFonts w:hint="eastAsia" w:ascii="仿宋_GB2312" w:hAnsi="仿宋" w:eastAsia="仿宋_GB2312" w:cs="仿宋"/>
          <w:b w:val="0"/>
          <w:bCs w:val="0"/>
          <w:color w:val="auto"/>
          <w:kern w:val="0"/>
          <w:sz w:val="32"/>
          <w:szCs w:val="32"/>
          <w:lang w:val="zh-CN" w:eastAsia="zh-CN" w:bidi="ar-SA"/>
        </w:rPr>
        <w:t>公务员编制</w:t>
      </w:r>
      <w:r>
        <w:rPr>
          <w:rFonts w:hint="eastAsia" w:ascii="仿宋_GB2312" w:hAnsi="仿宋" w:eastAsia="仿宋_GB2312" w:cs="仿宋"/>
          <w:b w:val="0"/>
          <w:bCs w:val="0"/>
          <w:color w:val="auto"/>
          <w:kern w:val="0"/>
          <w:sz w:val="32"/>
          <w:szCs w:val="32"/>
          <w:lang w:val="en-US" w:eastAsia="zh-CN" w:bidi="ar-SA"/>
        </w:rPr>
        <w:t>4名，现有公务员5人，其中1人政协上班；事业编制2名（挂靠泸县统战事务服务中心），现有2人；退休人员3人。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（三）年度主要工作任务。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rPr>
        <w:t>县工商联</w:t>
      </w:r>
      <w:r>
        <w:rPr>
          <w:rFonts w:hint="eastAsia" w:ascii="Times New Roman" w:hAnsi="Times New Roman" w:eastAsia="方正仿宋简体" w:cs="Times New Roman"/>
          <w:b w:val="0"/>
          <w:bCs w:val="0"/>
          <w:color w:val="auto"/>
          <w:sz w:val="32"/>
          <w:szCs w:val="32"/>
          <w:lang w:eastAsia="zh-CN"/>
        </w:rPr>
        <w:t>坚持</w:t>
      </w:r>
      <w:r>
        <w:rPr>
          <w:rFonts w:hint="default" w:ascii="Times New Roman" w:hAnsi="Times New Roman" w:eastAsia="方正仿宋简体" w:cs="Times New Roman"/>
          <w:b w:val="0"/>
          <w:bCs w:val="0"/>
          <w:color w:val="auto"/>
          <w:sz w:val="32"/>
          <w:szCs w:val="32"/>
        </w:rPr>
        <w:t>以习近平新时代中国特色社会主义思</w:t>
      </w:r>
      <w:r>
        <w:rPr>
          <w:rFonts w:hint="default" w:ascii="Times New Roman" w:hAnsi="Times New Roman" w:eastAsia="方正仿宋简体" w:cs="Times New Roman"/>
          <w:b w:val="0"/>
          <w:bCs w:val="0"/>
          <w:color w:val="auto"/>
          <w:sz w:val="32"/>
          <w:szCs w:val="32"/>
          <w:lang w:val="en-US" w:eastAsia="zh-CN"/>
        </w:rPr>
        <w:t>想</w:t>
      </w:r>
      <w:r>
        <w:rPr>
          <w:rFonts w:hint="default" w:ascii="Times New Roman" w:hAnsi="Times New Roman" w:eastAsia="方正仿宋简体" w:cs="Times New Roman"/>
          <w:b w:val="0"/>
          <w:bCs w:val="0"/>
          <w:color w:val="auto"/>
          <w:sz w:val="32"/>
          <w:szCs w:val="32"/>
        </w:rPr>
        <w:t>和</w:t>
      </w:r>
      <w:r>
        <w:rPr>
          <w:rFonts w:hint="default" w:ascii="Times New Roman" w:hAnsi="Times New Roman" w:eastAsia="方正仿宋简体" w:cs="Times New Roman"/>
          <w:b w:val="0"/>
          <w:bCs w:val="0"/>
          <w:color w:val="auto"/>
          <w:sz w:val="32"/>
          <w:szCs w:val="32"/>
          <w:u w:val="none"/>
        </w:rPr>
        <w:t>党的十九大</w:t>
      </w:r>
      <w:r>
        <w:rPr>
          <w:rFonts w:hint="eastAsia" w:ascii="Times New Roman" w:hAnsi="Times New Roman" w:eastAsia="方正仿宋简体" w:cs="Times New Roman"/>
          <w:b w:val="0"/>
          <w:bCs w:val="0"/>
          <w:color w:val="auto"/>
          <w:sz w:val="32"/>
          <w:szCs w:val="32"/>
          <w:u w:val="none"/>
          <w:lang w:eastAsia="zh-CN"/>
        </w:rPr>
        <w:t>、</w:t>
      </w:r>
      <w:r>
        <w:rPr>
          <w:rFonts w:hint="default" w:ascii="Times New Roman" w:hAnsi="Times New Roman" w:eastAsia="方正仿宋简体" w:cs="Times New Roman"/>
          <w:b w:val="0"/>
          <w:bCs w:val="0"/>
          <w:color w:val="auto"/>
          <w:sz w:val="32"/>
          <w:szCs w:val="32"/>
          <w:u w:val="none"/>
        </w:rPr>
        <w:t>党的</w:t>
      </w:r>
      <w:r>
        <w:rPr>
          <w:rFonts w:hint="eastAsia" w:ascii="Times New Roman" w:hAnsi="Times New Roman" w:eastAsia="方正仿宋简体" w:cs="Times New Roman"/>
          <w:b w:val="0"/>
          <w:bCs w:val="0"/>
          <w:color w:val="auto"/>
          <w:sz w:val="32"/>
          <w:szCs w:val="32"/>
          <w:u w:val="none"/>
          <w:lang w:eastAsia="zh-CN"/>
        </w:rPr>
        <w:t>二十大</w:t>
      </w:r>
      <w:r>
        <w:rPr>
          <w:rFonts w:hint="default" w:ascii="Times New Roman" w:hAnsi="Times New Roman" w:eastAsia="方正仿宋简体" w:cs="Times New Roman"/>
          <w:b w:val="0"/>
          <w:bCs w:val="0"/>
          <w:color w:val="auto"/>
          <w:sz w:val="32"/>
          <w:szCs w:val="32"/>
          <w:u w:val="none"/>
        </w:rPr>
        <w:t>精神</w:t>
      </w:r>
      <w:bookmarkStart w:id="67" w:name="_GoBack"/>
      <w:bookmarkEnd w:id="67"/>
      <w:r>
        <w:rPr>
          <w:rFonts w:hint="default" w:ascii="Times New Roman" w:hAnsi="Times New Roman" w:eastAsia="方正仿宋简体" w:cs="Times New Roman"/>
          <w:b w:val="0"/>
          <w:bCs w:val="0"/>
          <w:color w:val="auto"/>
          <w:sz w:val="32"/>
          <w:szCs w:val="32"/>
          <w:lang w:val="en-US" w:eastAsia="zh-CN"/>
        </w:rPr>
        <w:t>为指导，牢牢把握“两个健康”工作主题，紧紧围绕</w:t>
      </w:r>
      <w:r>
        <w:rPr>
          <w:rFonts w:hint="eastAsia" w:ascii="Times New Roman" w:hAnsi="Times New Roman" w:eastAsia="方正仿宋简体" w:cs="Times New Roman"/>
          <w:b w:val="0"/>
          <w:bCs w:val="0"/>
          <w:color w:val="auto"/>
          <w:sz w:val="32"/>
          <w:szCs w:val="32"/>
          <w:lang w:val="en-US" w:eastAsia="zh-CN"/>
        </w:rPr>
        <w:t>省、</w:t>
      </w:r>
      <w:r>
        <w:rPr>
          <w:rFonts w:hint="default" w:ascii="Times New Roman" w:hAnsi="Times New Roman" w:eastAsia="方正仿宋简体" w:cs="Times New Roman"/>
          <w:b w:val="0"/>
          <w:bCs w:val="0"/>
          <w:color w:val="auto"/>
          <w:sz w:val="32"/>
          <w:szCs w:val="32"/>
          <w:lang w:val="en-US" w:eastAsia="zh-CN"/>
        </w:rPr>
        <w:t>市、</w:t>
      </w:r>
      <w:r>
        <w:rPr>
          <w:rFonts w:hint="eastAsia" w:ascii="Times New Roman" w:hAnsi="Times New Roman" w:eastAsia="方正仿宋简体" w:cs="Times New Roman"/>
          <w:b w:val="0"/>
          <w:bCs w:val="0"/>
          <w:color w:val="auto"/>
          <w:sz w:val="32"/>
          <w:szCs w:val="32"/>
          <w:lang w:val="en-US" w:eastAsia="zh-CN"/>
        </w:rPr>
        <w:t>县</w:t>
      </w:r>
      <w:r>
        <w:rPr>
          <w:rFonts w:hint="default" w:ascii="Times New Roman" w:hAnsi="Times New Roman" w:eastAsia="方正仿宋简体" w:cs="Times New Roman"/>
          <w:b w:val="0"/>
          <w:bCs w:val="0"/>
          <w:color w:val="auto"/>
          <w:sz w:val="32"/>
          <w:szCs w:val="32"/>
          <w:lang w:val="en-US" w:eastAsia="zh-CN"/>
        </w:rPr>
        <w:t>重大决策部署，聚焦成渝地区双城经济圈建设、</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一体两翼</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特色发展战略、</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突破800亿、跻身百强县</w:t>
      </w:r>
      <w:r>
        <w:rPr>
          <w:rFonts w:hint="eastAsia" w:ascii="Times New Roman" w:hAnsi="Times New Roman" w:eastAsia="方正仿宋简体" w:cs="Times New Roman"/>
          <w:b w:val="0"/>
          <w:bCs w:val="0"/>
          <w:color w:val="auto"/>
          <w:sz w:val="32"/>
          <w:szCs w:val="32"/>
          <w:lang w:val="en-US" w:eastAsia="zh-CN"/>
        </w:rPr>
        <w:t>”等重大安排部署，</w:t>
      </w:r>
      <w:r>
        <w:rPr>
          <w:rFonts w:hint="default" w:ascii="Times New Roman" w:hAnsi="Times New Roman" w:eastAsia="方正仿宋简体" w:cs="Times New Roman"/>
          <w:b w:val="0"/>
          <w:bCs w:val="0"/>
          <w:color w:val="auto"/>
          <w:sz w:val="32"/>
          <w:szCs w:val="32"/>
          <w:lang w:val="en-US" w:eastAsia="zh-CN"/>
        </w:rPr>
        <w:t>搭平台、建机制、强服务、创品牌，以</w:t>
      </w:r>
      <w:r>
        <w:rPr>
          <w:rFonts w:hint="eastAsia" w:ascii="Times New Roman" w:hAnsi="Times New Roman" w:eastAsia="方正仿宋简体" w:cs="Times New Roman"/>
          <w:b w:val="0"/>
          <w:bCs w:val="0"/>
          <w:color w:val="auto"/>
          <w:sz w:val="32"/>
          <w:szCs w:val="32"/>
          <w:lang w:val="en-US" w:eastAsia="zh-CN"/>
        </w:rPr>
        <w:t>四川省新时代“两个健康”示范县建设</w:t>
      </w:r>
      <w:r>
        <w:rPr>
          <w:rFonts w:hint="default" w:ascii="Times New Roman" w:hAnsi="Times New Roman" w:eastAsia="方正仿宋简体" w:cs="Times New Roman"/>
          <w:b w:val="0"/>
          <w:bCs w:val="0"/>
          <w:color w:val="auto"/>
          <w:sz w:val="32"/>
          <w:szCs w:val="32"/>
          <w:lang w:val="en-US" w:eastAsia="zh-CN"/>
        </w:rPr>
        <w:t>为契机，深化民营经济人士理想信念教育，服务民营企业高质量发展，推进工商联组织体系建设，</w:t>
      </w:r>
      <w:r>
        <w:rPr>
          <w:rFonts w:hint="default" w:ascii="Times New Roman" w:hAnsi="Times New Roman" w:eastAsia="方正仿宋简体" w:cs="Times New Roman"/>
          <w:b w:val="0"/>
          <w:bCs w:val="0"/>
          <w:color w:val="auto"/>
          <w:sz w:val="32"/>
          <w:szCs w:val="32"/>
        </w:rPr>
        <w:t>助推</w:t>
      </w:r>
      <w:r>
        <w:rPr>
          <w:rFonts w:hint="eastAsia" w:ascii="Times New Roman" w:hAnsi="Times New Roman" w:eastAsia="方正仿宋简体" w:cs="Times New Roman"/>
          <w:b w:val="0"/>
          <w:bCs w:val="0"/>
          <w:color w:val="auto"/>
          <w:sz w:val="32"/>
          <w:szCs w:val="32"/>
          <w:lang w:eastAsia="zh-CN"/>
        </w:rPr>
        <w:t>县域</w:t>
      </w:r>
      <w:r>
        <w:rPr>
          <w:rFonts w:hint="default" w:ascii="Times New Roman" w:hAnsi="Times New Roman" w:eastAsia="方正仿宋简体" w:cs="Times New Roman"/>
          <w:b w:val="0"/>
          <w:bCs w:val="0"/>
          <w:color w:val="auto"/>
          <w:sz w:val="32"/>
          <w:szCs w:val="32"/>
        </w:rPr>
        <w:t>经济社会高质量发展</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（一）着力开展党建引领。</w:t>
      </w:r>
      <w:r>
        <w:rPr>
          <w:rFonts w:hint="default" w:ascii="Times New Roman" w:hAnsi="Times New Roman" w:eastAsia="方正仿宋简体" w:cs="Times New Roman"/>
          <w:b w:val="0"/>
          <w:bCs w:val="0"/>
          <w:color w:val="auto"/>
          <w:sz w:val="32"/>
          <w:szCs w:val="32"/>
          <w:lang w:val="en-US" w:eastAsia="zh-CN"/>
        </w:rPr>
        <w:t>牢牢把握思想政治工作这条生命线，在实践中创新</w:t>
      </w:r>
      <w:r>
        <w:rPr>
          <w:rFonts w:hint="eastAsia" w:ascii="Times New Roman" w:hAnsi="Times New Roman" w:eastAsia="方正仿宋简体" w:cs="Times New Roman"/>
          <w:b w:val="0"/>
          <w:bCs w:val="0"/>
          <w:color w:val="auto"/>
          <w:sz w:val="32"/>
          <w:szCs w:val="32"/>
          <w:lang w:val="en-US" w:eastAsia="zh-CN"/>
        </w:rPr>
        <w:t>工作</w:t>
      </w:r>
      <w:r>
        <w:rPr>
          <w:rFonts w:hint="default" w:ascii="Times New Roman" w:hAnsi="Times New Roman" w:eastAsia="方正仿宋简体" w:cs="Times New Roman"/>
          <w:b w:val="0"/>
          <w:bCs w:val="0"/>
          <w:color w:val="auto"/>
          <w:sz w:val="32"/>
          <w:szCs w:val="32"/>
          <w:lang w:val="en-US" w:eastAsia="zh-CN"/>
        </w:rPr>
        <w:t>方式，发挥教育引导功能，引导民营经济人士不断增进对中国共产党和中国特色社会主义的政治认同、思想认同、情感认同。利用</w:t>
      </w:r>
      <w:r>
        <w:rPr>
          <w:rFonts w:hint="eastAsia" w:ascii="Times New Roman" w:hAnsi="Times New Roman" w:eastAsia="方正仿宋简体" w:cs="Times New Roman"/>
          <w:b w:val="0"/>
          <w:bCs w:val="0"/>
          <w:color w:val="auto"/>
          <w:sz w:val="32"/>
          <w:szCs w:val="32"/>
          <w:lang w:val="en-US" w:eastAsia="zh-CN"/>
        </w:rPr>
        <w:t>中心组学习、</w:t>
      </w:r>
      <w:r>
        <w:rPr>
          <w:rFonts w:hint="default" w:ascii="Times New Roman" w:hAnsi="Times New Roman" w:eastAsia="方正仿宋简体" w:cs="Times New Roman"/>
          <w:b w:val="0"/>
          <w:bCs w:val="0"/>
          <w:color w:val="auto"/>
          <w:sz w:val="32"/>
          <w:szCs w:val="32"/>
          <w:lang w:val="en-US" w:eastAsia="zh-CN"/>
        </w:rPr>
        <w:t>党组会、办公会、三会一课</w:t>
      </w:r>
      <w:r>
        <w:rPr>
          <w:rFonts w:hint="eastAsia" w:ascii="Times New Roman" w:hAnsi="Times New Roman" w:eastAsia="方正仿宋简体" w:cs="Times New Roman"/>
          <w:b w:val="0"/>
          <w:bCs w:val="0"/>
          <w:color w:val="auto"/>
          <w:sz w:val="32"/>
          <w:szCs w:val="32"/>
          <w:lang w:val="en-US" w:eastAsia="zh-CN"/>
        </w:rPr>
        <w:t>等，</w:t>
      </w:r>
      <w:r>
        <w:rPr>
          <w:rFonts w:hint="default" w:ascii="Times New Roman" w:hAnsi="Times New Roman" w:eastAsia="方正仿宋简体" w:cs="Times New Roman"/>
          <w:b w:val="0"/>
          <w:bCs w:val="0"/>
          <w:color w:val="auto"/>
          <w:sz w:val="32"/>
          <w:szCs w:val="32"/>
          <w:lang w:val="en-US" w:eastAsia="zh-CN"/>
        </w:rPr>
        <w:t>采取领导带头学、融合渗透学、典型警示学等方式，积极组织理论学习，深刻领会习近平总书记系列重要讲话和治国理政新理念、新思想、新战略，开展</w:t>
      </w:r>
      <w:r>
        <w:rPr>
          <w:rFonts w:hint="eastAsia" w:ascii="Times New Roman" w:hAnsi="Times New Roman" w:eastAsia="方正仿宋简体" w:cs="Times New Roman"/>
          <w:b w:val="0"/>
          <w:bCs w:val="0"/>
          <w:color w:val="auto"/>
          <w:sz w:val="32"/>
          <w:szCs w:val="32"/>
          <w:lang w:val="en-US" w:eastAsia="zh-CN"/>
        </w:rPr>
        <w:t>10</w:t>
      </w:r>
      <w:r>
        <w:rPr>
          <w:rFonts w:hint="default" w:ascii="Times New Roman" w:hAnsi="Times New Roman" w:eastAsia="方正仿宋简体" w:cs="Times New Roman"/>
          <w:b w:val="0"/>
          <w:bCs w:val="0"/>
          <w:color w:val="auto"/>
          <w:sz w:val="32"/>
          <w:szCs w:val="32"/>
          <w:lang w:val="en-US" w:eastAsia="zh-CN"/>
        </w:rPr>
        <w:t>次中心组学习，</w:t>
      </w:r>
      <w:r>
        <w:rPr>
          <w:rFonts w:hint="eastAsia" w:ascii="Times New Roman" w:hAnsi="Times New Roman" w:eastAsia="方正仿宋简体" w:cs="Times New Roman"/>
          <w:b w:val="0"/>
          <w:bCs w:val="0"/>
          <w:color w:val="auto"/>
          <w:sz w:val="32"/>
          <w:szCs w:val="32"/>
          <w:lang w:val="en-US" w:eastAsia="zh-CN"/>
        </w:rPr>
        <w:t>召开6次党组会议。</w:t>
      </w:r>
      <w:r>
        <w:rPr>
          <w:rFonts w:hint="default" w:ascii="Times New Roman" w:hAnsi="Times New Roman" w:eastAsia="方正仿宋简体" w:cs="Times New Roman"/>
          <w:b w:val="0"/>
          <w:bCs w:val="0"/>
          <w:color w:val="auto"/>
          <w:sz w:val="32"/>
          <w:szCs w:val="32"/>
          <w:lang w:val="en-US" w:eastAsia="zh-CN"/>
        </w:rPr>
        <w:t>结合</w:t>
      </w:r>
      <w:r>
        <w:rPr>
          <w:rFonts w:hint="eastAsia" w:ascii="Times New Roman" w:hAnsi="Times New Roman" w:eastAsia="方正仿宋简体" w:cs="Times New Roman"/>
          <w:b w:val="0"/>
          <w:bCs w:val="0"/>
          <w:color w:val="auto"/>
          <w:sz w:val="32"/>
          <w:szCs w:val="32"/>
          <w:lang w:val="en-US" w:eastAsia="zh-CN"/>
        </w:rPr>
        <w:t>理想信念</w:t>
      </w:r>
      <w:r>
        <w:rPr>
          <w:rFonts w:hint="default" w:ascii="Times New Roman" w:hAnsi="Times New Roman" w:eastAsia="方正仿宋简体" w:cs="Times New Roman"/>
          <w:b w:val="0"/>
          <w:bCs w:val="0"/>
          <w:color w:val="auto"/>
          <w:sz w:val="32"/>
          <w:szCs w:val="32"/>
          <w:lang w:val="en-US" w:eastAsia="zh-CN"/>
        </w:rPr>
        <w:t>教育，</w:t>
      </w:r>
      <w:r>
        <w:rPr>
          <w:rFonts w:hint="eastAsia" w:ascii="Times New Roman" w:hAnsi="Times New Roman" w:eastAsia="方正仿宋简体" w:cs="Times New Roman"/>
          <w:b w:val="0"/>
          <w:bCs w:val="0"/>
          <w:color w:val="auto"/>
          <w:sz w:val="32"/>
          <w:szCs w:val="32"/>
          <w:lang w:val="en-US" w:eastAsia="zh-CN"/>
        </w:rPr>
        <w:t>泸县</w:t>
      </w:r>
      <w:r>
        <w:rPr>
          <w:rFonts w:hint="default" w:ascii="Times New Roman" w:hAnsi="Times New Roman" w:eastAsia="方正仿宋简体" w:cs="Times New Roman"/>
          <w:b w:val="0"/>
          <w:bCs w:val="0"/>
          <w:color w:val="auto"/>
          <w:sz w:val="32"/>
          <w:szCs w:val="32"/>
          <w:lang w:val="en-US" w:eastAsia="zh-CN"/>
        </w:rPr>
        <w:t>工商联</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总商会</w:t>
      </w:r>
      <w:r>
        <w:rPr>
          <w:rFonts w:hint="eastAsia" w:ascii="Times New Roman" w:hAnsi="Times New Roman" w:eastAsia="方正仿宋简体" w:cs="Times New Roman"/>
          <w:b w:val="0"/>
          <w:bCs w:val="0"/>
          <w:color w:val="auto"/>
          <w:sz w:val="32"/>
          <w:szCs w:val="32"/>
          <w:lang w:val="en-US" w:eastAsia="zh-CN"/>
        </w:rPr>
        <w:t>）和直</w:t>
      </w:r>
      <w:r>
        <w:rPr>
          <w:rFonts w:hint="default" w:ascii="Times New Roman" w:hAnsi="Times New Roman" w:eastAsia="方正仿宋简体" w:cs="Times New Roman"/>
          <w:b w:val="0"/>
          <w:bCs w:val="0"/>
          <w:color w:val="auto"/>
          <w:sz w:val="32"/>
          <w:szCs w:val="32"/>
          <w:lang w:val="en-US" w:eastAsia="zh-CN"/>
        </w:rPr>
        <w:t>属商会</w:t>
      </w:r>
      <w:r>
        <w:rPr>
          <w:rFonts w:hint="eastAsia" w:ascii="Times New Roman" w:hAnsi="Times New Roman" w:eastAsia="方正仿宋简体" w:cs="Times New Roman"/>
          <w:b w:val="0"/>
          <w:bCs w:val="0"/>
          <w:color w:val="auto"/>
          <w:sz w:val="32"/>
          <w:szCs w:val="32"/>
          <w:lang w:val="en-US" w:eastAsia="zh-CN"/>
        </w:rPr>
        <w:t>、广大民营企业</w:t>
      </w:r>
      <w:r>
        <w:rPr>
          <w:rFonts w:hint="default" w:ascii="Times New Roman" w:hAnsi="Times New Roman" w:eastAsia="方正仿宋简体" w:cs="Times New Roman"/>
          <w:b w:val="0"/>
          <w:bCs w:val="0"/>
          <w:color w:val="auto"/>
          <w:sz w:val="32"/>
          <w:szCs w:val="32"/>
          <w:lang w:val="en-US" w:eastAsia="zh-CN"/>
        </w:rPr>
        <w:t>共举办各类集中学习、宣讲和主题党日活动</w:t>
      </w:r>
      <w:r>
        <w:rPr>
          <w:rFonts w:hint="eastAsia" w:ascii="Times New Roman" w:hAnsi="Times New Roman" w:eastAsia="方正仿宋简体" w:cs="Times New Roman"/>
          <w:b w:val="0"/>
          <w:bCs w:val="0"/>
          <w:color w:val="auto"/>
          <w:sz w:val="32"/>
          <w:szCs w:val="32"/>
          <w:lang w:val="en-US" w:eastAsia="zh-CN"/>
        </w:rPr>
        <w:t>12</w:t>
      </w:r>
      <w:r>
        <w:rPr>
          <w:rFonts w:hint="default" w:ascii="Times New Roman" w:hAnsi="Times New Roman" w:eastAsia="方正仿宋简体" w:cs="Times New Roman"/>
          <w:b w:val="0"/>
          <w:bCs w:val="0"/>
          <w:color w:val="auto"/>
          <w:sz w:val="32"/>
          <w:szCs w:val="32"/>
          <w:lang w:val="en-US" w:eastAsia="zh-CN"/>
        </w:rPr>
        <w:t>场次</w:t>
      </w:r>
      <w:r>
        <w:rPr>
          <w:rFonts w:hint="eastAsia" w:ascii="Times New Roman" w:hAnsi="Times New Roman" w:eastAsia="方正仿宋简体" w:cs="Times New Roman"/>
          <w:b w:val="0"/>
          <w:bCs w:val="0"/>
          <w:color w:val="auto"/>
          <w:sz w:val="32"/>
          <w:szCs w:val="32"/>
          <w:lang w:val="en-US" w:eastAsia="zh-CN"/>
        </w:rPr>
        <w:t>。实施民营企业雁阵培育计划，将科瑞德、众邦、极速智能等纳入省级雁阵培育名单，积极引导民营企业建立现代企业制度，实施民营企业家梯度培育计划，输送民营企业家参加省民营办组织的各类专题培训，为企业家成长创造条件。截至10月，培育市场主体286家，累计兑现奖励资金850余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（二）着力推进商会能力提升。</w:t>
      </w:r>
      <w:r>
        <w:rPr>
          <w:rFonts w:hint="eastAsia" w:ascii="Times New Roman" w:hAnsi="Times New Roman" w:eastAsia="方正仿宋简体" w:cs="Times New Roman"/>
          <w:b w:val="0"/>
          <w:bCs w:val="0"/>
          <w:color w:val="auto"/>
          <w:sz w:val="32"/>
          <w:szCs w:val="32"/>
          <w:lang w:val="en-US" w:eastAsia="zh-CN"/>
        </w:rPr>
        <w:t>积极发挥商会主阵地作用，坚持以提升商会工作能力为出发点，不断扩大服务领域、提高服务水平，以创建“四好”商会为抓手，充分发挥所属商会在总部经济招引、调查研究、社会治理、党的建设、经济服务、行业自律、政企对接、慈善捐赠、交流联谊等方面的积极作用。以年轻化、职业化、专业化为导向，进一步加强商会领导班子队伍建设，商会履职能力实现新提升。成立泸东商会，玄滩分会和海潮分会升级直属商会稳步推进。参加龙城商会、云龙商会、女企业家商会等直属商会抗震救灾、扶贫济困等活动26次；参加商会新办公室搬迁、换届大会、会员大会、工作例会22次。罗帆被推荐为全国工商联代表大会代表，武万琼被推荐为省党代表。李子茂、唐勇被聘为首批泸州“城市宣传官”，陈刚、罗江、刘智能、泸县云龙商会分别被评为泸州市首届“十大杰出泸商”“十大优秀泸商”和“十佳优秀商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（三）着力推进社会组织“两个覆盖”。</w:t>
      </w:r>
      <w:r>
        <w:rPr>
          <w:rFonts w:hint="default" w:ascii="Times New Roman" w:hAnsi="Times New Roman" w:eastAsia="方正仿宋简体" w:cs="Times New Roman"/>
          <w:b w:val="0"/>
          <w:bCs w:val="0"/>
          <w:color w:val="auto"/>
          <w:sz w:val="32"/>
          <w:szCs w:val="32"/>
          <w:lang w:val="en-US" w:eastAsia="zh-CN"/>
        </w:rPr>
        <w:t>贯彻“信任、团结、服务、引导、教育”方针，紧扣“两个健康”工作主题，把非公企业党建工作摆在突出位置</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着力抓好商务楼宇、园区、商圈市场等党组织组建力度。全县现有非公企业党组织180个，覆盖规模以上企业218家，</w:t>
      </w:r>
      <w:r>
        <w:rPr>
          <w:rFonts w:hint="eastAsia" w:ascii="Times New Roman" w:hAnsi="Times New Roman" w:eastAsia="方正仿宋简体" w:cs="Times New Roman"/>
          <w:b w:val="0"/>
          <w:bCs w:val="0"/>
          <w:color w:val="auto"/>
          <w:sz w:val="32"/>
          <w:szCs w:val="32"/>
          <w:lang w:val="en-US" w:eastAsia="zh-CN"/>
        </w:rPr>
        <w:t>党组织覆盖</w:t>
      </w:r>
      <w:r>
        <w:rPr>
          <w:rFonts w:hint="default" w:ascii="Times New Roman" w:hAnsi="Times New Roman" w:eastAsia="方正仿宋简体" w:cs="Times New Roman"/>
          <w:b w:val="0"/>
          <w:bCs w:val="0"/>
          <w:color w:val="auto"/>
          <w:sz w:val="32"/>
          <w:szCs w:val="32"/>
          <w:lang w:val="en-US" w:eastAsia="zh-CN"/>
        </w:rPr>
        <w:t>率达100%，非公企业党员1130人。</w:t>
      </w:r>
      <w:r>
        <w:rPr>
          <w:rFonts w:hint="eastAsia" w:ascii="Times New Roman" w:hAnsi="Times New Roman" w:eastAsia="方正仿宋简体" w:cs="Times New Roman"/>
          <w:b w:val="0"/>
          <w:bCs w:val="0"/>
          <w:color w:val="auto"/>
          <w:sz w:val="32"/>
          <w:szCs w:val="32"/>
          <w:lang w:val="en-US" w:eastAsia="zh-CN"/>
        </w:rPr>
        <w:t>泸县总商会及7个直属商会均成立功能性党支部，实现党的“组织覆盖”；工商联采取领导班子及部室负责人担任党建联络员的方式，实现了对直属商会党的工作覆盖，加强商会党建工作指导。坚持把党建作为“四好商会”评选的必备条件，实行“一票否决”，形成党建和会建“双强互促”的良好局面，有力促进直属商会党建工作质量提升。泸县总商会、云龙商会、工商联嘉明分会、泸东商会被市工商联确认为“四好商会”，云龙商会拟创建全国四好商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（四）全力开展“两个健康”创建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一是开展民企护航行动。</w:t>
      </w:r>
      <w:r>
        <w:rPr>
          <w:rFonts w:hint="eastAsia" w:ascii="Times New Roman" w:hAnsi="Times New Roman" w:eastAsia="方正仿宋简体" w:cs="Times New Roman"/>
          <w:b w:val="0"/>
          <w:bCs w:val="0"/>
          <w:color w:val="auto"/>
          <w:sz w:val="32"/>
          <w:szCs w:val="32"/>
          <w:lang w:eastAsia="zh-CN"/>
        </w:rPr>
        <w:t>召开</w:t>
      </w:r>
      <w:r>
        <w:rPr>
          <w:rFonts w:hint="eastAsia" w:ascii="Times New Roman" w:hAnsi="Times New Roman" w:eastAsia="方正仿宋简体" w:cs="Times New Roman"/>
          <w:b w:val="0"/>
          <w:bCs w:val="0"/>
          <w:color w:val="auto"/>
          <w:sz w:val="32"/>
          <w:szCs w:val="32"/>
          <w:lang w:val="en-US" w:eastAsia="zh-CN"/>
        </w:rPr>
        <w:t>泸县“深化法治服务·助力两个健康</w:t>
      </w:r>
      <w:r>
        <w:rPr>
          <w:rFonts w:hint="eastAsia" w:ascii="Times New Roman" w:hAnsi="Times New Roman" w:eastAsia="方正仿宋简体" w:cs="Times New Roman"/>
          <w:b w:val="0"/>
          <w:bCs w:val="0"/>
          <w:color w:val="auto"/>
          <w:sz w:val="32"/>
          <w:szCs w:val="32"/>
          <w:lang w:eastAsia="zh-CN"/>
        </w:rPr>
        <w:t>”政企共建工作推进会，泸县总商会</w:t>
      </w:r>
      <w:r>
        <w:rPr>
          <w:rFonts w:hint="default" w:ascii="Times New Roman" w:hAnsi="Times New Roman" w:eastAsia="方正仿宋简体" w:cs="Times New Roman"/>
          <w:b w:val="0"/>
          <w:bCs w:val="0"/>
          <w:color w:val="auto"/>
          <w:sz w:val="32"/>
          <w:szCs w:val="32"/>
          <w:lang w:val="en-US" w:eastAsia="zh-CN"/>
        </w:rPr>
        <w:t>与</w:t>
      </w:r>
      <w:r>
        <w:rPr>
          <w:rFonts w:hint="eastAsia" w:ascii="Times New Roman" w:hAnsi="Times New Roman" w:eastAsia="方正仿宋简体" w:cs="Times New Roman"/>
          <w:b w:val="0"/>
          <w:bCs w:val="0"/>
          <w:color w:val="auto"/>
          <w:sz w:val="32"/>
          <w:szCs w:val="32"/>
          <w:lang w:val="en-US" w:eastAsia="zh-CN"/>
        </w:rPr>
        <w:t>县</w:t>
      </w:r>
      <w:r>
        <w:rPr>
          <w:rFonts w:hint="default" w:ascii="Times New Roman" w:hAnsi="Times New Roman" w:eastAsia="方正仿宋简体" w:cs="Times New Roman"/>
          <w:b w:val="0"/>
          <w:bCs w:val="0"/>
          <w:color w:val="auto"/>
          <w:sz w:val="32"/>
          <w:szCs w:val="32"/>
          <w:lang w:val="en-US" w:eastAsia="zh-CN"/>
        </w:rPr>
        <w:t>法院、</w:t>
      </w:r>
      <w:r>
        <w:rPr>
          <w:rFonts w:hint="eastAsia" w:ascii="Times New Roman" w:hAnsi="Times New Roman" w:eastAsia="方正仿宋简体" w:cs="Times New Roman"/>
          <w:b w:val="0"/>
          <w:bCs w:val="0"/>
          <w:color w:val="auto"/>
          <w:sz w:val="32"/>
          <w:szCs w:val="32"/>
          <w:lang w:val="en-US" w:eastAsia="zh-CN"/>
        </w:rPr>
        <w:t>县</w:t>
      </w:r>
      <w:r>
        <w:rPr>
          <w:rFonts w:hint="default" w:ascii="Times New Roman" w:hAnsi="Times New Roman" w:eastAsia="方正仿宋简体" w:cs="Times New Roman"/>
          <w:b w:val="0"/>
          <w:bCs w:val="0"/>
          <w:color w:val="auto"/>
          <w:sz w:val="32"/>
          <w:szCs w:val="32"/>
          <w:lang w:val="en-US" w:eastAsia="zh-CN"/>
        </w:rPr>
        <w:t>检察院、</w:t>
      </w:r>
      <w:r>
        <w:rPr>
          <w:rFonts w:hint="eastAsia" w:ascii="Times New Roman" w:hAnsi="Times New Roman" w:eastAsia="方正仿宋简体" w:cs="Times New Roman"/>
          <w:b w:val="0"/>
          <w:bCs w:val="0"/>
          <w:color w:val="auto"/>
          <w:sz w:val="32"/>
          <w:szCs w:val="32"/>
          <w:lang w:val="en-US" w:eastAsia="zh-CN"/>
        </w:rPr>
        <w:t>县</w:t>
      </w:r>
      <w:r>
        <w:rPr>
          <w:rFonts w:hint="default" w:ascii="Times New Roman" w:hAnsi="Times New Roman" w:eastAsia="方正仿宋简体" w:cs="Times New Roman"/>
          <w:b w:val="0"/>
          <w:bCs w:val="0"/>
          <w:color w:val="auto"/>
          <w:sz w:val="32"/>
          <w:szCs w:val="32"/>
          <w:lang w:val="en-US" w:eastAsia="zh-CN"/>
        </w:rPr>
        <w:t>司法局等</w:t>
      </w:r>
      <w:r>
        <w:rPr>
          <w:rFonts w:hint="default" w:ascii="Times New Roman" w:hAnsi="Times New Roman" w:eastAsia="方正仿宋简体" w:cs="Times New Roman"/>
          <w:b w:val="0"/>
          <w:bCs w:val="0"/>
          <w:color w:val="auto"/>
          <w:sz w:val="32"/>
          <w:szCs w:val="32"/>
        </w:rPr>
        <w:t>19个部门</w:t>
      </w:r>
      <w:r>
        <w:rPr>
          <w:rFonts w:hint="eastAsia" w:ascii="Times New Roman" w:hAnsi="Times New Roman" w:eastAsia="方正仿宋简体" w:cs="Times New Roman"/>
          <w:b w:val="0"/>
          <w:bCs w:val="0"/>
          <w:color w:val="auto"/>
          <w:sz w:val="32"/>
          <w:szCs w:val="32"/>
        </w:rPr>
        <w:t>签订政企互动、助企发展共建框架协议</w:t>
      </w:r>
      <w:r>
        <w:rPr>
          <w:rFonts w:hint="default" w:ascii="Times New Roman" w:hAnsi="Times New Roman" w:eastAsia="方正仿宋简体" w:cs="Times New Roman"/>
          <w:b w:val="0"/>
          <w:bCs w:val="0"/>
          <w:color w:val="auto"/>
          <w:sz w:val="32"/>
          <w:szCs w:val="32"/>
          <w:lang w:val="en-US" w:eastAsia="zh-CN"/>
        </w:rPr>
        <w:t>，出台《泸县深化法治服务助力“两个健康”工作方案》，向民营企业开展法治宣传、仲裁调解、法治体检等法律援助，开设接待民营企业“绿色通道”，</w:t>
      </w:r>
      <w:r>
        <w:rPr>
          <w:rFonts w:hint="default" w:ascii="Times New Roman" w:hAnsi="Times New Roman" w:eastAsia="方正仿宋简体" w:cs="Times New Roman"/>
          <w:b w:val="0"/>
          <w:bCs w:val="0"/>
          <w:color w:val="auto"/>
          <w:kern w:val="2"/>
          <w:sz w:val="32"/>
          <w:szCs w:val="32"/>
          <w:lang w:val="en-US" w:eastAsia="zh-CN" w:bidi="ar-SA"/>
        </w:rPr>
        <w:t>建立 “容错”“纠错”机制，</w:t>
      </w:r>
      <w:r>
        <w:rPr>
          <w:rFonts w:hint="eastAsia" w:ascii="Times New Roman" w:hAnsi="Times New Roman" w:eastAsia="方正仿宋简体" w:cs="Times New Roman"/>
          <w:b w:val="0"/>
          <w:bCs w:val="0"/>
          <w:color w:val="auto"/>
          <w:sz w:val="32"/>
          <w:szCs w:val="32"/>
          <w:lang w:val="en-US" w:eastAsia="zh-CN"/>
        </w:rPr>
        <w:t>进一步深化涉企法治服务</w:t>
      </w:r>
      <w:r>
        <w:rPr>
          <w:rFonts w:hint="default" w:ascii="Times New Roman" w:hAnsi="Times New Roman" w:eastAsia="方正仿宋简体" w:cs="Times New Roman"/>
          <w:b w:val="0"/>
          <w:bCs w:val="0"/>
          <w:color w:val="auto"/>
          <w:sz w:val="32"/>
          <w:szCs w:val="32"/>
          <w:lang w:val="en-US" w:eastAsia="zh-CN"/>
        </w:rPr>
        <w:t>。</w:t>
      </w:r>
      <w:r>
        <w:rPr>
          <w:rFonts w:hint="eastAsia" w:ascii="Times New Roman" w:hAnsi="Times New Roman" w:eastAsia="方正仿宋简体" w:cs="Times New Roman"/>
          <w:b w:val="0"/>
          <w:bCs w:val="0"/>
          <w:color w:val="auto"/>
          <w:sz w:val="32"/>
          <w:szCs w:val="32"/>
          <w:lang w:val="en-US" w:eastAsia="zh-CN"/>
        </w:rPr>
        <w:t>2022</w:t>
      </w:r>
      <w:r>
        <w:rPr>
          <w:rFonts w:hint="default" w:ascii="Times New Roman" w:hAnsi="Times New Roman" w:eastAsia="方正仿宋简体" w:cs="Times New Roman"/>
          <w:b w:val="0"/>
          <w:bCs w:val="0"/>
          <w:color w:val="auto"/>
          <w:sz w:val="32"/>
          <w:szCs w:val="32"/>
        </w:rPr>
        <w:t>年，为民营企业提供法律服务</w:t>
      </w:r>
      <w:r>
        <w:rPr>
          <w:rFonts w:hint="eastAsia" w:ascii="Times New Roman" w:hAnsi="Times New Roman" w:eastAsia="方正仿宋简体" w:cs="Times New Roman"/>
          <w:b w:val="0"/>
          <w:bCs w:val="0"/>
          <w:color w:val="auto"/>
          <w:sz w:val="32"/>
          <w:szCs w:val="32"/>
          <w:lang w:val="en-US" w:eastAsia="zh-CN"/>
        </w:rPr>
        <w:t>136</w:t>
      </w:r>
      <w:r>
        <w:rPr>
          <w:rFonts w:hint="default" w:ascii="Times New Roman" w:hAnsi="Times New Roman" w:eastAsia="方正仿宋简体" w:cs="Times New Roman"/>
          <w:b w:val="0"/>
          <w:bCs w:val="0"/>
          <w:color w:val="auto"/>
          <w:sz w:val="32"/>
          <w:szCs w:val="32"/>
        </w:rPr>
        <w:t>次，</w:t>
      </w:r>
      <w:r>
        <w:rPr>
          <w:rFonts w:hint="default" w:ascii="Times New Roman" w:hAnsi="Times New Roman" w:eastAsia="方正仿宋简体" w:cs="Times New Roman"/>
          <w:b w:val="0"/>
          <w:bCs w:val="0"/>
          <w:color w:val="auto"/>
          <w:sz w:val="32"/>
          <w:szCs w:val="32"/>
          <w:lang w:eastAsia="zh-CN"/>
        </w:rPr>
        <w:t>开展法治宣传35场</w:t>
      </w:r>
      <w:r>
        <w:rPr>
          <w:rFonts w:hint="eastAsia"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eastAsia="zh-CN"/>
        </w:rPr>
        <w:t>接受企业员工法律咨询1000余人次</w:t>
      </w:r>
      <w:r>
        <w:rPr>
          <w:rFonts w:hint="eastAsia"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为民营企业节约法律服务费用</w:t>
      </w:r>
      <w:r>
        <w:rPr>
          <w:rFonts w:hint="eastAsia" w:ascii="Times New Roman" w:hAnsi="Times New Roman" w:eastAsia="方正仿宋简体" w:cs="Times New Roman"/>
          <w:b w:val="0"/>
          <w:bCs w:val="0"/>
          <w:color w:val="auto"/>
          <w:kern w:val="2"/>
          <w:sz w:val="32"/>
          <w:szCs w:val="32"/>
          <w:lang w:val="en-US" w:eastAsia="zh-CN" w:bidi="ar-SA"/>
        </w:rPr>
        <w:t>30</w:t>
      </w:r>
      <w:r>
        <w:rPr>
          <w:rFonts w:hint="default" w:ascii="Times New Roman" w:hAnsi="Times New Roman" w:eastAsia="方正仿宋简体" w:cs="Times New Roman"/>
          <w:b w:val="0"/>
          <w:bCs w:val="0"/>
          <w:color w:val="auto"/>
          <w:kern w:val="2"/>
          <w:sz w:val="32"/>
          <w:szCs w:val="32"/>
          <w:lang w:val="en-US" w:eastAsia="zh-CN" w:bidi="ar-SA"/>
        </w:rPr>
        <w:t>万元</w:t>
      </w:r>
      <w:r>
        <w:rPr>
          <w:rFonts w:hint="eastAsia" w:ascii="Times New Roman" w:hAnsi="Times New Roman" w:eastAsia="方正仿宋简体" w:cs="Times New Roman"/>
          <w:b w:val="0"/>
          <w:bCs w:val="0"/>
          <w:color w:val="auto"/>
          <w:kern w:val="2"/>
          <w:sz w:val="32"/>
          <w:szCs w:val="32"/>
          <w:lang w:val="en-US" w:eastAsia="zh-CN" w:bidi="ar-SA"/>
        </w:rPr>
        <w:t>，</w:t>
      </w:r>
      <w:r>
        <w:rPr>
          <w:rFonts w:hint="default" w:ascii="Times New Roman" w:hAnsi="Times New Roman" w:eastAsia="方正仿宋简体" w:cs="Times New Roman"/>
          <w:b w:val="0"/>
          <w:bCs w:val="0"/>
          <w:color w:val="auto"/>
          <w:kern w:val="2"/>
          <w:sz w:val="32"/>
          <w:szCs w:val="32"/>
          <w:lang w:val="en-US" w:eastAsia="zh-CN" w:bidi="ar-SA"/>
        </w:rPr>
        <w:t>为28户市场主体累计减轻处罚98万元。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b w:val="0"/>
          <w:bCs w:val="0"/>
          <w:color w:val="auto"/>
          <w:sz w:val="32"/>
          <w:szCs w:val="32"/>
          <w:lang w:val="zh-CN"/>
        </w:rPr>
      </w:pPr>
      <w:r>
        <w:rPr>
          <w:rFonts w:hint="eastAsia" w:ascii="Times New Roman" w:hAnsi="Times New Roman" w:eastAsia="方正仿宋简体"/>
          <w:b w:val="0"/>
          <w:bCs w:val="0"/>
          <w:color w:val="auto"/>
          <w:sz w:val="32"/>
          <w:szCs w:val="32"/>
          <w:lang w:val="zh-CN"/>
        </w:rPr>
        <w:t>二是</w:t>
      </w:r>
      <w:r>
        <w:rPr>
          <w:rFonts w:hint="eastAsia" w:ascii="Times New Roman" w:hAnsi="Times New Roman" w:eastAsia="方正仿宋简体" w:cs="Times New Roman"/>
          <w:b w:val="0"/>
          <w:bCs w:val="0"/>
          <w:color w:val="auto"/>
          <w:sz w:val="32"/>
          <w:szCs w:val="32"/>
          <w:lang w:val="en-US" w:eastAsia="zh-CN"/>
        </w:rPr>
        <w:t>破解融资就业难题。与泸县邮储银行、工商银行、农商银行、泸州银行等签订战略合作协议，强化金融支撑体系，与金融部门开展常态化合作，加强对民营企业的金融支持。出台《关于扎实开展“酒城同心·金融速贷”信贷服务工作的通知》，实施“增信强思同心梦”“汇智献策同心言”等七大行动，从党建引领、献策出力、参与建设、选树典型等方面实行“一对一”、“妈妈式”服务，打造“泸商之家”。</w:t>
      </w:r>
      <w:r>
        <w:rPr>
          <w:rFonts w:hint="eastAsia" w:ascii="Times New Roman" w:hAnsi="Times New Roman" w:eastAsia="方正仿宋简体"/>
          <w:b w:val="0"/>
          <w:bCs w:val="0"/>
          <w:color w:val="auto"/>
          <w:sz w:val="32"/>
          <w:szCs w:val="32"/>
          <w:lang w:val="zh-CN"/>
        </w:rPr>
        <w:t>对接银行为企业开展“万企兴万村”银企合作业务培训会；</w:t>
      </w:r>
      <w:r>
        <w:rPr>
          <w:rFonts w:hint="eastAsia" w:ascii="Times New Roman" w:hAnsi="Times New Roman" w:eastAsia="方正仿宋简体" w:cs="Times New Roman"/>
          <w:b w:val="0"/>
          <w:bCs w:val="0"/>
          <w:color w:val="auto"/>
          <w:sz w:val="32"/>
          <w:szCs w:val="32"/>
          <w:lang w:val="en-US" w:eastAsia="zh-CN"/>
        </w:rPr>
        <w:t>对接联系县人社局、县国资金融局、银行、市场监管局等部门为商会讲解助企纾困相关政策5场次，发放四川（泸州）助企纾困政策明白卡400余张。协助企业办理贷款30笔，支持661家中小微企业融资4.42亿元，</w:t>
      </w:r>
      <w:r>
        <w:rPr>
          <w:rFonts w:hint="eastAsia" w:ascii="Times New Roman" w:hAnsi="Times New Roman" w:eastAsia="方正仿宋简体" w:cs="Times New Roman"/>
          <w:b w:val="0"/>
          <w:bCs w:val="0"/>
          <w:color w:val="auto"/>
          <w:kern w:val="0"/>
          <w:sz w:val="32"/>
          <w:szCs w:val="32"/>
          <w:lang w:val="en-US" w:eastAsia="zh-CN" w:bidi="ar"/>
        </w:rPr>
        <w:t>向符合条件的企业提供过桥资金2830万元。</w:t>
      </w:r>
      <w:r>
        <w:rPr>
          <w:rFonts w:hint="eastAsia" w:ascii="Times New Roman" w:hAnsi="Times New Roman" w:eastAsia="方正仿宋简体" w:cs="Times New Roman"/>
          <w:b w:val="0"/>
          <w:bCs w:val="0"/>
          <w:color w:val="auto"/>
          <w:sz w:val="32"/>
          <w:szCs w:val="32"/>
          <w:lang w:val="en-US" w:eastAsia="zh-CN"/>
        </w:rPr>
        <w:t>组织100余家会员企业参加2022年春风行动招聘会、夏季退役军人专场招聘会、百日千万网络招聘专项行动等招聘活动，助解用工难问题。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b w:val="0"/>
          <w:bCs w:val="0"/>
          <w:color w:val="auto"/>
          <w:sz w:val="32"/>
          <w:szCs w:val="32"/>
          <w:lang w:val="zh-CN"/>
        </w:rPr>
        <w:t>三是</w:t>
      </w:r>
      <w:r>
        <w:rPr>
          <w:rFonts w:hint="default" w:ascii="Times New Roman" w:hAnsi="Times New Roman" w:eastAsia="方正仿宋简体" w:cs="Times New Roman"/>
          <w:b w:val="0"/>
          <w:bCs w:val="0"/>
          <w:color w:val="auto"/>
          <w:sz w:val="32"/>
          <w:szCs w:val="32"/>
        </w:rPr>
        <w:t>推动政企“双向沟通”。</w:t>
      </w:r>
      <w:r>
        <w:rPr>
          <w:rFonts w:hint="eastAsia" w:ascii="Times New Roman" w:hAnsi="Times New Roman" w:eastAsia="方正仿宋简体" w:cs="Times New Roman"/>
          <w:b w:val="0"/>
          <w:bCs w:val="0"/>
          <w:color w:val="auto"/>
          <w:sz w:val="32"/>
          <w:szCs w:val="32"/>
          <w:lang w:eastAsia="zh-CN"/>
        </w:rPr>
        <w:t>制定《“有困难找工商联”助力“两个健康”优质服务行动方案》《开展新时代“两个健康”示范县建设暨民营经济示范县创建工作举措》《开展“四好”商会建设》等工作举措</w:t>
      </w:r>
      <w:r>
        <w:rPr>
          <w:rFonts w:hint="eastAsia" w:ascii="Times New Roman" w:hAnsi="Times New Roman" w:eastAsia="方正仿宋简体" w:cs="Times New Roman"/>
          <w:b w:val="0"/>
          <w:bCs w:val="0"/>
          <w:color w:val="auto"/>
          <w:sz w:val="32"/>
          <w:szCs w:val="32"/>
          <w:lang w:val="en-US" w:eastAsia="zh-CN"/>
        </w:rPr>
        <w:t>4个，</w:t>
      </w:r>
      <w:r>
        <w:rPr>
          <w:rFonts w:hint="eastAsia" w:ascii="Times New Roman" w:hAnsi="Times New Roman" w:eastAsia="方正仿宋简体" w:cs="Times New Roman"/>
          <w:b w:val="0"/>
          <w:bCs w:val="0"/>
          <w:color w:val="auto"/>
          <w:sz w:val="32"/>
          <w:szCs w:val="32"/>
        </w:rPr>
        <w:t>推进“有困难找工商联”优质服务行动，</w:t>
      </w:r>
      <w:r>
        <w:rPr>
          <w:rFonts w:hint="eastAsia" w:ascii="Times New Roman" w:hAnsi="Times New Roman" w:eastAsia="方正仿宋简体" w:cs="Times New Roman"/>
          <w:b w:val="0"/>
          <w:bCs w:val="0"/>
          <w:color w:val="auto"/>
          <w:sz w:val="32"/>
          <w:szCs w:val="32"/>
          <w:lang w:val="en-US" w:eastAsia="zh-CN"/>
        </w:rPr>
        <w:t>建立服务泸商“数字快车”“健康快车”“发展快车”等11项举措，</w:t>
      </w:r>
      <w:r>
        <w:rPr>
          <w:rFonts w:hint="eastAsia" w:ascii="Times New Roman" w:hAnsi="Times New Roman" w:eastAsia="方正仿宋简体" w:cs="Times New Roman"/>
          <w:b w:val="0"/>
          <w:bCs w:val="0"/>
          <w:color w:val="auto"/>
          <w:kern w:val="0"/>
          <w:sz w:val="32"/>
          <w:szCs w:val="32"/>
          <w:lang w:val="en-US" w:eastAsia="zh-CN" w:bidi="ar"/>
        </w:rPr>
        <w:t>开辟“爱泸县”政企服务通道，提供管理咨询、人才发展、知识产权保护、乡村振兴、法律维权等优</w:t>
      </w:r>
      <w:r>
        <w:rPr>
          <w:rFonts w:hint="eastAsia" w:ascii="Times New Roman" w:hAnsi="Times New Roman" w:eastAsia="方正仿宋简体" w:cs="Times New Roman"/>
          <w:b w:val="0"/>
          <w:bCs w:val="0"/>
          <w:color w:val="auto"/>
          <w:sz w:val="32"/>
          <w:szCs w:val="32"/>
          <w:lang w:val="en-US" w:eastAsia="zh-CN"/>
        </w:rPr>
        <w:t>质服务，实现政企“零距离接触”“零时差沟通”。</w:t>
      </w:r>
      <w:r>
        <w:rPr>
          <w:rFonts w:hint="eastAsia" w:ascii="Times New Roman" w:hAnsi="Times New Roman" w:eastAsia="方正仿宋简体" w:cs="Times New Roman"/>
          <w:b w:val="0"/>
          <w:bCs w:val="0"/>
          <w:color w:val="auto"/>
          <w:sz w:val="32"/>
          <w:szCs w:val="32"/>
        </w:rPr>
        <w:t>选聘“营商环境观察员”20名，通过点对点走访调研、召开</w:t>
      </w:r>
      <w:r>
        <w:rPr>
          <w:rFonts w:hint="eastAsia" w:ascii="Times New Roman" w:hAnsi="Times New Roman" w:eastAsia="方正仿宋简体" w:cs="Times New Roman"/>
          <w:b w:val="0"/>
          <w:bCs w:val="0"/>
          <w:color w:val="auto"/>
          <w:sz w:val="32"/>
          <w:szCs w:val="32"/>
          <w:lang w:eastAsia="zh-CN"/>
        </w:rPr>
        <w:t>泸县籍企业家代表座谈会、</w:t>
      </w:r>
      <w:r>
        <w:rPr>
          <w:rFonts w:hint="eastAsia" w:ascii="Times New Roman" w:hAnsi="Times New Roman" w:eastAsia="方正仿宋简体" w:cs="Times New Roman"/>
          <w:b w:val="0"/>
          <w:bCs w:val="0"/>
          <w:color w:val="auto"/>
          <w:sz w:val="32"/>
          <w:szCs w:val="32"/>
        </w:rPr>
        <w:t>政企座谈会、统战部长与企业家面对面座谈会等方式，现场办公、逐项解决企业融资招工、要素保障</w:t>
      </w:r>
      <w:r>
        <w:rPr>
          <w:rFonts w:hint="default" w:ascii="Times New Roman" w:hAnsi="Times New Roman" w:eastAsia="方正仿宋简体" w:cs="Times New Roman"/>
          <w:b w:val="0"/>
          <w:bCs w:val="0"/>
          <w:color w:val="auto"/>
          <w:sz w:val="32"/>
          <w:szCs w:val="32"/>
          <w:lang w:eastAsia="zh-CN"/>
        </w:rPr>
        <w:t>、安全环保</w:t>
      </w:r>
      <w:r>
        <w:rPr>
          <w:rFonts w:hint="eastAsia" w:ascii="Times New Roman" w:hAnsi="Times New Roman" w:eastAsia="方正仿宋简体" w:cs="Times New Roman"/>
          <w:b w:val="0"/>
          <w:bCs w:val="0"/>
          <w:color w:val="auto"/>
          <w:sz w:val="32"/>
          <w:szCs w:val="32"/>
        </w:rPr>
        <w:t>等困难150余个，累计为科瑞德制药等120余家企业减税降费10亿元</w:t>
      </w:r>
      <w:r>
        <w:rPr>
          <w:rFonts w:hint="eastAsia" w:ascii="Times New Roman" w:hAnsi="Times New Roman" w:eastAsia="方正仿宋简体" w:cs="Times New Roman"/>
          <w:b w:val="0"/>
          <w:bCs w:val="0"/>
          <w:color w:val="auto"/>
          <w:sz w:val="32"/>
          <w:szCs w:val="32"/>
          <w:lang w:eastAsia="zh-CN"/>
        </w:rPr>
        <w:t>，办理</w:t>
      </w:r>
      <w:r>
        <w:rPr>
          <w:rFonts w:hint="default" w:ascii="Times New Roman" w:hAnsi="Times New Roman" w:eastAsia="方正仿宋简体" w:cs="Times New Roman"/>
          <w:b w:val="0"/>
          <w:bCs w:val="0"/>
          <w:color w:val="auto"/>
          <w:sz w:val="32"/>
          <w:szCs w:val="32"/>
          <w:lang w:eastAsia="zh-CN"/>
        </w:rPr>
        <w:t>制造业小微企业税费缓缴1690户次，缓缴金额1</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eastAsia="zh-CN"/>
        </w:rPr>
        <w:t>3</w:t>
      </w:r>
      <w:r>
        <w:rPr>
          <w:rFonts w:hint="eastAsia" w:ascii="Times New Roman" w:hAnsi="Times New Roman" w:eastAsia="方正仿宋简体" w:cs="Times New Roman"/>
          <w:b w:val="0"/>
          <w:bCs w:val="0"/>
          <w:color w:val="auto"/>
          <w:sz w:val="32"/>
          <w:szCs w:val="32"/>
          <w:lang w:val="en-US" w:eastAsia="zh-CN"/>
        </w:rPr>
        <w:t>9</w:t>
      </w:r>
      <w:r>
        <w:rPr>
          <w:rFonts w:hint="eastAsia" w:ascii="Times New Roman" w:hAnsi="Times New Roman" w:eastAsia="方正仿宋简体" w:cs="Times New Roman"/>
          <w:b w:val="0"/>
          <w:bCs w:val="0"/>
          <w:color w:val="auto"/>
          <w:sz w:val="32"/>
          <w:szCs w:val="32"/>
          <w:lang w:eastAsia="zh-CN"/>
        </w:rPr>
        <w:t>亿</w:t>
      </w:r>
      <w:r>
        <w:rPr>
          <w:rFonts w:hint="default" w:ascii="Times New Roman" w:hAnsi="Times New Roman" w:eastAsia="方正仿宋简体" w:cs="Times New Roman"/>
          <w:b w:val="0"/>
          <w:bCs w:val="0"/>
          <w:color w:val="auto"/>
          <w:sz w:val="32"/>
          <w:szCs w:val="32"/>
          <w:lang w:eastAsia="zh-CN"/>
        </w:rPr>
        <w:t>元</w:t>
      </w:r>
      <w:r>
        <w:rPr>
          <w:rFonts w:hint="eastAsia" w:ascii="Times New Roman" w:hAnsi="Times New Roman" w:eastAsia="方正仿宋简体"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四是推进“两个健康”创建。成立以县委、县政府主要领导任双组长的“两个健康”示范县建设工作领导小组，印发《泸县开展新时代“两个健康”示范县建设暨民营经济示范县创建总体方案》，制定《泸县开展新时代“两个健康”示范县建设暨民营经济示范县创建实施意见》、《泸县开展新时代“两个健康”示范县建设暨民营经济示范县建设工作领导小组》、《泸县开展新时代“两个健康”示范县建设工作机制》等文件，</w:t>
      </w:r>
      <w:r>
        <w:rPr>
          <w:rFonts w:hint="eastAsia" w:ascii="Times New Roman" w:hAnsi="Times New Roman" w:eastAsia="方正仿宋简体" w:cs="Times New Roman"/>
          <w:b w:val="0"/>
          <w:bCs w:val="0"/>
          <w:i w:val="0"/>
          <w:iCs w:val="0"/>
          <w:caps w:val="0"/>
          <w:color w:val="auto"/>
          <w:spacing w:val="0"/>
          <w:sz w:val="32"/>
          <w:szCs w:val="32"/>
          <w:shd w:val="clear" w:color="auto" w:fill="FFFFFF"/>
          <w:lang w:eastAsia="zh-CN"/>
        </w:rPr>
        <w:t>以两办名义成立创建工作领导小组，成立了工作专班，</w:t>
      </w:r>
      <w:r>
        <w:rPr>
          <w:rFonts w:hint="eastAsia" w:ascii="Times New Roman" w:hAnsi="Times New Roman" w:eastAsia="方正仿宋简体" w:cs="Times New Roman"/>
          <w:b w:val="0"/>
          <w:bCs w:val="0"/>
          <w:color w:val="auto"/>
          <w:sz w:val="32"/>
          <w:szCs w:val="32"/>
        </w:rPr>
        <w:t>设置专项工作组11个</w:t>
      </w:r>
      <w:r>
        <w:rPr>
          <w:rFonts w:hint="eastAsia" w:ascii="Times New Roman" w:hAnsi="Times New Roman" w:eastAsia="方正仿宋简体" w:cs="Times New Roman"/>
          <w:b w:val="0"/>
          <w:bCs w:val="0"/>
          <w:color w:val="auto"/>
          <w:sz w:val="32"/>
          <w:szCs w:val="32"/>
          <w:lang w:eastAsia="zh-CN"/>
        </w:rPr>
        <w:t>。</w:t>
      </w:r>
      <w:r>
        <w:rPr>
          <w:rFonts w:hint="eastAsia" w:ascii="Times New Roman" w:hAnsi="Times New Roman" w:eastAsia="方正仿宋简体" w:cs="Times New Roman"/>
          <w:b w:val="0"/>
          <w:bCs w:val="0"/>
          <w:i w:val="0"/>
          <w:iCs w:val="0"/>
          <w:caps w:val="0"/>
          <w:color w:val="auto"/>
          <w:spacing w:val="0"/>
          <w:sz w:val="32"/>
          <w:szCs w:val="32"/>
          <w:shd w:val="clear" w:color="auto" w:fill="FFFFFF"/>
          <w:lang w:val="en-US" w:eastAsia="zh-CN"/>
        </w:rPr>
        <w:t>召开创建推进工作会5次，开展创建工作专题调研，形成工作简报8期，汇编工作案例、政策文件2册。1月11日，泸县在全省探索开展新时代“两个健康”示范市（州）县（市、区）建设启动会上作交流发言。3月31日，全市园区统战暨非公经济“两个健康”工作现场会在泸县成功召开，泸县工商联工作获得省工商联高度评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五是开展“双招双引”工作。制定《“总部经济”外出考察分组》，与异地泸州商协会建立“产业、资金、人才”回引共建共享平台30个，依托异地商会、知名企业开展以商招商。梳理“一产业一图谱”，围绕七大产业链，邀请专家论证，加强产业分析，找准产业缺失环节，立足精准化靶向链式招商。召开统战部部长与民营企业家面对面座谈会，听取企业家建议意见，开设服务泸商直通车专报，依托直通车平台促进项目跟进落实。主要领导带队赴深圳、成都、厦门、昆明等地开展招商招引工作，考察拜访安徽源达石化、株洲旗滨集团等企业近20家，初步明确干细胞美容项目、中科医疗等重点在谈项目20余个，已回引四川羿辰科技有限公司、泸州永固安全科技有限公司等企业12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 w:val="0"/>
          <w:bCs w:val="0"/>
          <w:color w:val="auto"/>
          <w:sz w:val="32"/>
          <w:szCs w:val="32"/>
          <w:lang w:val="zh-CN" w:eastAsia="zh-CN"/>
        </w:rPr>
      </w:pPr>
      <w:r>
        <w:rPr>
          <w:rFonts w:hint="eastAsia" w:ascii="Times New Roman" w:hAnsi="Times New Roman" w:eastAsia="方正仿宋简体" w:cs="Times New Roman"/>
          <w:b w:val="0"/>
          <w:bCs w:val="0"/>
          <w:color w:val="auto"/>
          <w:sz w:val="32"/>
          <w:szCs w:val="32"/>
          <w:lang w:val="en-US" w:eastAsia="zh-CN"/>
        </w:rPr>
        <w:t>六是</w:t>
      </w:r>
      <w:r>
        <w:rPr>
          <w:rFonts w:hint="eastAsia" w:ascii="Times New Roman" w:hAnsi="Times New Roman" w:eastAsia="方正仿宋简体" w:cs="Times New Roman"/>
          <w:b w:val="0"/>
          <w:bCs w:val="0"/>
          <w:color w:val="auto"/>
          <w:sz w:val="32"/>
          <w:szCs w:val="32"/>
          <w:lang w:val="zh-CN" w:eastAsia="zh-CN"/>
        </w:rPr>
        <w:t>完善调查问卷企业基础数据，帮扶企业由14家增加至30家。完成了由全国工商联组织开展的民营企业生产经营情况</w:t>
      </w:r>
      <w:r>
        <w:rPr>
          <w:rFonts w:hint="eastAsia" w:ascii="Times New Roman" w:hAnsi="Times New Roman" w:eastAsia="方正仿宋简体" w:cs="Times New Roman"/>
          <w:b w:val="0"/>
          <w:bCs w:val="0"/>
          <w:color w:val="auto"/>
          <w:sz w:val="32"/>
          <w:szCs w:val="32"/>
          <w:lang w:val="en-US" w:eastAsia="zh-CN"/>
        </w:rPr>
        <w:t>1-3季度</w:t>
      </w:r>
      <w:r>
        <w:rPr>
          <w:rFonts w:hint="eastAsia" w:ascii="Times New Roman" w:hAnsi="Times New Roman" w:eastAsia="方正仿宋简体" w:cs="Times New Roman"/>
          <w:b w:val="0"/>
          <w:bCs w:val="0"/>
          <w:color w:val="auto"/>
          <w:sz w:val="32"/>
          <w:szCs w:val="32"/>
          <w:lang w:val="zh-CN" w:eastAsia="zh-CN"/>
        </w:rPr>
        <w:t>网上调查问卷，共计</w:t>
      </w:r>
      <w:r>
        <w:rPr>
          <w:rFonts w:hint="eastAsia" w:ascii="Times New Roman" w:hAnsi="Times New Roman" w:eastAsia="方正仿宋简体" w:cs="Times New Roman"/>
          <w:b w:val="0"/>
          <w:bCs w:val="0"/>
          <w:color w:val="auto"/>
          <w:sz w:val="32"/>
          <w:szCs w:val="32"/>
          <w:lang w:val="en-US" w:eastAsia="zh-CN"/>
        </w:rPr>
        <w:t>80</w:t>
      </w:r>
      <w:r>
        <w:rPr>
          <w:rFonts w:hint="eastAsia" w:ascii="Times New Roman" w:hAnsi="Times New Roman" w:eastAsia="方正仿宋简体" w:cs="Times New Roman"/>
          <w:b w:val="0"/>
          <w:bCs w:val="0"/>
          <w:color w:val="auto"/>
          <w:sz w:val="32"/>
          <w:szCs w:val="32"/>
          <w:lang w:val="zh-CN" w:eastAsia="zh-CN"/>
        </w:rPr>
        <w:t>家企业，全国民营企业劳动关系网上调查问卷6家，全省工商联组织开展的民营企业助企纾困政策落实情况网上调查问卷30家。完成四川省品牌价值调研问卷。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zh-CN" w:eastAsia="zh-CN"/>
        </w:rPr>
        <w:t>七是</w:t>
      </w:r>
      <w:r>
        <w:rPr>
          <w:rFonts w:hint="eastAsia" w:ascii="Times New Roman" w:hAnsi="Times New Roman" w:eastAsia="方正仿宋简体" w:cs="Times New Roman"/>
          <w:b w:val="0"/>
          <w:bCs w:val="0"/>
          <w:color w:val="auto"/>
          <w:sz w:val="32"/>
          <w:szCs w:val="32"/>
          <w:lang w:val="en-US" w:eastAsia="zh-CN"/>
        </w:rPr>
        <w:t>引导参与社会公益。组织民营企业参与“万企兴万村”、疫情防控、捐资助学等公益慈善事业，开展关爱特殊群体、慰问妇女儿童老人、“助力中高考”爱心车队等公益活动，李允顺、唐勇、李子茂等优秀民营企业家为家乡捐赠路灯、集资修路等。2022年，促成民营企业和镇村结对帮扶36对，乡城县结对帮扶30对；民营企业栋梁工程捐款172万元，乡村振兴、99公益等捐款捐物74万元；9月疫情防控捐款捐物160余万元，保供医疗防护、生活物资超5600万元；广大会员参与各类志愿服务活动2400余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zh-CN" w:eastAsia="zh-CN"/>
        </w:rPr>
        <w:t>（五）其他工作情况。</w:t>
      </w:r>
      <w:r>
        <w:rPr>
          <w:rFonts w:hint="eastAsia" w:ascii="Times New Roman" w:hAnsi="Times New Roman" w:eastAsia="方正仿宋简体" w:cs="Times New Roman"/>
          <w:b w:val="0"/>
          <w:bCs w:val="0"/>
          <w:color w:val="auto"/>
          <w:sz w:val="32"/>
          <w:szCs w:val="32"/>
          <w:lang w:val="zh-CN" w:eastAsia="zh-CN"/>
        </w:rPr>
        <w:t>办结政协提案回复件</w:t>
      </w:r>
      <w:r>
        <w:rPr>
          <w:rFonts w:hint="eastAsia" w:ascii="Times New Roman" w:hAnsi="Times New Roman" w:eastAsia="方正仿宋简体" w:cs="Times New Roman"/>
          <w:b w:val="0"/>
          <w:bCs w:val="0"/>
          <w:color w:val="auto"/>
          <w:sz w:val="32"/>
          <w:szCs w:val="32"/>
          <w:lang w:val="en-US" w:eastAsia="zh-CN"/>
        </w:rPr>
        <w:t>3件，协助科瑞德完成2021年度中国民营企业绿色发展优秀案例申报工作，完成泸县三八红旗手的推荐工作，李子茂、李允顺被评为泸州市招商引资先进个人。在全市工商联系统宣传信息工作会、全市工商联商会建设暨法律服务工作现场会上作工作经验交流。传播好工商联好声音，2022年，国家级媒体采用宣传信息53条、省级媒体130条、市级媒体199条。完成调研报告3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8" w:lineRule="exact"/>
        <w:ind w:left="0" w:right="0" w:firstLine="420"/>
        <w:jc w:val="left"/>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0"/>
          <w:sz w:val="32"/>
          <w:szCs w:val="32"/>
          <w:highlight w:val="none"/>
          <w:shd w:val="clear" w:color="auto" w:fill="FFFFFF"/>
          <w:lang w:val="zh-CN"/>
        </w:rPr>
        <w:t>（四）部门整体支出绩效目标。</w:t>
      </w:r>
      <w:r>
        <w:rPr>
          <w:rFonts w:hint="eastAsia" w:ascii="仿宋_GB2312" w:hAnsi="仿宋_GB2312" w:eastAsia="仿宋_GB2312" w:cs="仿宋_GB2312"/>
          <w:b w:val="0"/>
          <w:bCs w:val="0"/>
          <w:color w:val="auto"/>
          <w:kern w:val="2"/>
          <w:sz w:val="32"/>
          <w:szCs w:val="32"/>
          <w:lang w:val="en-US" w:eastAsia="zh-CN" w:bidi="ar-SA"/>
        </w:rPr>
        <w:t>泸县工商业联合会在县委、县政府的坚强领导和其它职能部门的大力支持配合下，聚焦“两个健康”，构建新型政商关系，营造良好的营商环境，为县域经济的发展做出积极贡献。</w:t>
      </w:r>
    </w:p>
    <w:p>
      <w:pPr>
        <w:pStyle w:val="2"/>
        <w:ind w:firstLine="360" w:firstLineChars="200"/>
        <w:rPr>
          <w:rFonts w:hint="eastAsia"/>
          <w:b w:val="0"/>
          <w:bCs w:val="0"/>
          <w:color w:val="auto"/>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b w:val="0"/>
          <w:bCs w:val="0"/>
          <w:color w:val="auto"/>
          <w:kern w:val="0"/>
          <w:sz w:val="32"/>
          <w:szCs w:val="32"/>
          <w:highlight w:val="none"/>
          <w:shd w:val="clear" w:color="auto" w:fill="FFFFFF"/>
        </w:rPr>
      </w:pPr>
      <w:r>
        <w:rPr>
          <w:rFonts w:hint="eastAsia" w:ascii="黑体" w:hAnsi="宋体" w:eastAsia="黑体" w:cs="宋体"/>
          <w:b w:val="0"/>
          <w:bCs w:val="0"/>
          <w:color w:val="auto"/>
          <w:kern w:val="0"/>
          <w:sz w:val="32"/>
          <w:szCs w:val="32"/>
          <w:highlight w:val="none"/>
          <w:shd w:val="clear" w:color="auto" w:fill="FFFFFF"/>
        </w:rPr>
        <w:t>二、</w:t>
      </w:r>
      <w:r>
        <w:rPr>
          <w:rFonts w:hint="eastAsia" w:ascii="黑体" w:hAnsi="宋体" w:eastAsia="黑体" w:cs="宋体"/>
          <w:b w:val="0"/>
          <w:bCs w:val="0"/>
          <w:color w:val="auto"/>
          <w:kern w:val="0"/>
          <w:sz w:val="32"/>
          <w:szCs w:val="32"/>
          <w:highlight w:val="none"/>
          <w:shd w:val="clear" w:color="auto" w:fill="FFFFFF"/>
          <w:lang w:eastAsia="zh-CN"/>
        </w:rPr>
        <w:t>部门</w:t>
      </w:r>
      <w:r>
        <w:rPr>
          <w:rFonts w:hint="eastAsia" w:ascii="黑体" w:hAnsi="宋体" w:eastAsia="黑体" w:cs="宋体"/>
          <w:b w:val="0"/>
          <w:bCs w:val="0"/>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spacing w:line="600" w:lineRule="exact"/>
        <w:ind w:firstLine="640" w:firstLineChars="200"/>
        <w:rPr>
          <w:rFonts w:hint="eastAsia"/>
          <w:b w:val="0"/>
          <w:bCs w:val="0"/>
          <w:color w:val="auto"/>
          <w:lang w:val="en-US" w:eastAsia="zh-CN"/>
        </w:rPr>
      </w:pPr>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年度收</w:t>
      </w:r>
      <w:r>
        <w:rPr>
          <w:rFonts w:hint="eastAsia" w:ascii="仿宋" w:hAnsi="仿宋" w:eastAsia="仿宋"/>
          <w:b w:val="0"/>
          <w:bCs w:val="0"/>
          <w:color w:val="auto"/>
          <w:sz w:val="32"/>
          <w:szCs w:val="32"/>
          <w:highlight w:val="none"/>
          <w:lang w:val="en-US" w:eastAsia="zh-CN"/>
        </w:rPr>
        <w:t>入</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135.02</w:t>
      </w:r>
      <w:r>
        <w:rPr>
          <w:rFonts w:hint="eastAsia" w:ascii="仿宋" w:hAnsi="仿宋" w:eastAsia="仿宋"/>
          <w:b w:val="0"/>
          <w:bCs w:val="0"/>
          <w:color w:val="auto"/>
          <w:sz w:val="32"/>
          <w:szCs w:val="32"/>
          <w:highlight w:val="none"/>
        </w:rPr>
        <w:t>万元。与20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年相比，收</w:t>
      </w:r>
      <w:r>
        <w:rPr>
          <w:rFonts w:hint="eastAsia" w:ascii="仿宋" w:hAnsi="仿宋" w:eastAsia="仿宋"/>
          <w:b w:val="0"/>
          <w:bCs w:val="0"/>
          <w:color w:val="auto"/>
          <w:sz w:val="32"/>
          <w:szCs w:val="32"/>
          <w:highlight w:val="none"/>
          <w:lang w:val="en-US" w:eastAsia="zh-CN"/>
        </w:rPr>
        <w:t>入</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103.27万元，</w:t>
      </w:r>
      <w:r>
        <w:rPr>
          <w:rFonts w:hint="eastAsia" w:ascii="仿宋" w:hAnsi="仿宋" w:eastAsia="仿宋"/>
          <w:b w:val="0"/>
          <w:bCs w:val="0"/>
          <w:color w:val="auto"/>
          <w:sz w:val="32"/>
          <w:szCs w:val="32"/>
          <w:highlight w:val="none"/>
        </w:rPr>
        <w:t>增加</w:t>
      </w:r>
      <w:r>
        <w:rPr>
          <w:rFonts w:hint="eastAsia" w:eastAsia="方正仿宋简体" w:cs="Times New Roman"/>
          <w:b w:val="0"/>
          <w:bCs w:val="0"/>
          <w:color w:val="auto"/>
          <w:kern w:val="0"/>
          <w:sz w:val="32"/>
          <w:szCs w:val="32"/>
          <w:lang w:val="en-US" w:eastAsia="zh-CN" w:bidi="ar-SA"/>
        </w:rPr>
        <w:t>31.75</w:t>
      </w:r>
      <w:r>
        <w:rPr>
          <w:rFonts w:hint="eastAsia" w:ascii="仿宋" w:hAnsi="仿宋" w:eastAsia="仿宋"/>
          <w:b w:val="0"/>
          <w:bCs w:val="0"/>
          <w:color w:val="auto"/>
          <w:sz w:val="32"/>
          <w:szCs w:val="32"/>
          <w:highlight w:val="none"/>
        </w:rPr>
        <w:t>万元，增加</w:t>
      </w:r>
      <w:r>
        <w:rPr>
          <w:rFonts w:hint="eastAsia" w:ascii="仿宋" w:hAnsi="仿宋" w:eastAsia="仿宋"/>
          <w:b w:val="0"/>
          <w:bCs w:val="0"/>
          <w:color w:val="auto"/>
          <w:sz w:val="32"/>
          <w:szCs w:val="32"/>
          <w:highlight w:val="none"/>
          <w:lang w:val="en-US" w:eastAsia="zh-CN"/>
        </w:rPr>
        <w:t>30.74</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spacing w:line="600" w:lineRule="exact"/>
        <w:ind w:firstLine="640" w:firstLineChars="200"/>
        <w:rPr>
          <w:rFonts w:hint="eastAsia" w:ascii="仿宋" w:hAnsi="仿宋" w:eastAsia="仿宋"/>
          <w:b w:val="0"/>
          <w:bCs w:val="0"/>
          <w:color w:val="auto"/>
          <w:sz w:val="32"/>
          <w:szCs w:val="32"/>
          <w:highlight w:val="none"/>
          <w:lang w:eastAsia="zh-CN"/>
        </w:rPr>
      </w:pPr>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年度</w:t>
      </w:r>
      <w:r>
        <w:rPr>
          <w:rFonts w:hint="eastAsia" w:ascii="仿宋" w:hAnsi="仿宋" w:eastAsia="仿宋"/>
          <w:b w:val="0"/>
          <w:bCs w:val="0"/>
          <w:color w:val="auto"/>
          <w:sz w:val="32"/>
          <w:szCs w:val="32"/>
          <w:highlight w:val="none"/>
          <w:lang w:val="en-US" w:eastAsia="zh-CN"/>
        </w:rPr>
        <w:t>支出</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138.26</w:t>
      </w:r>
      <w:r>
        <w:rPr>
          <w:rFonts w:hint="eastAsia" w:ascii="仿宋" w:hAnsi="仿宋" w:eastAsia="仿宋"/>
          <w:b w:val="0"/>
          <w:bCs w:val="0"/>
          <w:color w:val="auto"/>
          <w:sz w:val="32"/>
          <w:szCs w:val="32"/>
          <w:highlight w:val="none"/>
        </w:rPr>
        <w:t>万元。与20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w:t>
      </w:r>
      <w:r>
        <w:rPr>
          <w:rFonts w:hint="eastAsia" w:ascii="仿宋" w:hAnsi="仿宋" w:eastAsia="仿宋"/>
          <w:b w:val="0"/>
          <w:bCs w:val="0"/>
          <w:color w:val="auto"/>
          <w:sz w:val="32"/>
          <w:szCs w:val="32"/>
          <w:highlight w:val="none"/>
          <w:lang w:val="en-US" w:eastAsia="zh-CN"/>
        </w:rPr>
        <w:t>支出</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133.51万元，</w:t>
      </w:r>
      <w:r>
        <w:rPr>
          <w:rFonts w:hint="eastAsia" w:ascii="仿宋" w:hAnsi="仿宋" w:eastAsia="仿宋"/>
          <w:b w:val="0"/>
          <w:bCs w:val="0"/>
          <w:color w:val="auto"/>
          <w:sz w:val="32"/>
          <w:szCs w:val="32"/>
          <w:highlight w:val="none"/>
        </w:rPr>
        <w:t>增加</w:t>
      </w:r>
      <w:r>
        <w:rPr>
          <w:rFonts w:hint="eastAsia" w:ascii="仿宋" w:hAnsi="仿宋" w:eastAsia="仿宋"/>
          <w:b w:val="0"/>
          <w:bCs w:val="0"/>
          <w:color w:val="auto"/>
          <w:sz w:val="32"/>
          <w:szCs w:val="32"/>
          <w:highlight w:val="none"/>
          <w:lang w:val="en-US" w:eastAsia="zh-CN"/>
        </w:rPr>
        <w:t>4.75</w:t>
      </w:r>
      <w:r>
        <w:rPr>
          <w:rFonts w:hint="eastAsia" w:ascii="仿宋" w:hAnsi="仿宋" w:eastAsia="仿宋"/>
          <w:b w:val="0"/>
          <w:bCs w:val="0"/>
          <w:color w:val="auto"/>
          <w:sz w:val="32"/>
          <w:szCs w:val="32"/>
          <w:highlight w:val="none"/>
        </w:rPr>
        <w:t>万元，增加</w:t>
      </w:r>
      <w:r>
        <w:rPr>
          <w:rFonts w:hint="eastAsia" w:ascii="仿宋" w:hAnsi="仿宋" w:eastAsia="仿宋"/>
          <w:b w:val="0"/>
          <w:bCs w:val="0"/>
          <w:color w:val="auto"/>
          <w:sz w:val="32"/>
          <w:szCs w:val="32"/>
          <w:highlight w:val="none"/>
          <w:lang w:val="en-US" w:eastAsia="zh-CN"/>
        </w:rPr>
        <w:t>3.56</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。主要变动原因是</w:t>
      </w:r>
      <w:r>
        <w:rPr>
          <w:rFonts w:hint="eastAsia" w:ascii="仿宋" w:hAnsi="仿宋" w:eastAsia="仿宋"/>
          <w:b w:val="0"/>
          <w:bCs w:val="0"/>
          <w:color w:val="auto"/>
          <w:sz w:val="32"/>
          <w:szCs w:val="32"/>
          <w:highlight w:val="none"/>
          <w:lang w:val="en-US" w:eastAsia="zh-CN"/>
        </w:rPr>
        <w:t>人员经费和项目经费增加</w:t>
      </w:r>
      <w:r>
        <w:rPr>
          <w:rFonts w:hint="eastAsia" w:ascii="仿宋" w:hAnsi="仿宋" w:eastAsia="仿宋"/>
          <w:b w:val="0"/>
          <w:bCs w:val="0"/>
          <w:color w:val="auto"/>
          <w:sz w:val="32"/>
          <w:szCs w:val="32"/>
          <w:highlight w:val="none"/>
          <w:lang w:eastAsia="zh-CN"/>
        </w:rPr>
        <w:t>。</w:t>
      </w:r>
    </w:p>
    <w:p>
      <w:pPr>
        <w:pStyle w:val="12"/>
        <w:numPr>
          <w:ilvl w:val="0"/>
          <w:numId w:val="0"/>
        </w:numPr>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hAnsi="仿宋_GB2312" w:eastAsia="仿宋_GB2312" w:cs="仿宋_GB2312"/>
          <w:b w:val="0"/>
          <w:bCs w:val="0"/>
          <w:color w:val="auto"/>
          <w:kern w:val="0"/>
          <w:sz w:val="32"/>
          <w:szCs w:val="32"/>
          <w:highlight w:val="none"/>
          <w:shd w:val="clear" w:color="auto" w:fill="FFFFFF"/>
          <w:lang w:val="en-US" w:eastAsia="zh-CN"/>
        </w:rPr>
        <w:t>3.</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部门总体结转结余情况</w:t>
      </w:r>
    </w:p>
    <w:p>
      <w:pPr>
        <w:pStyle w:val="12"/>
        <w:numPr>
          <w:ilvl w:val="0"/>
          <w:numId w:val="0"/>
        </w:numPr>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w:t>
      </w:r>
      <w:r>
        <w:rPr>
          <w:rFonts w:hint="eastAsia" w:ascii="仿宋" w:hAnsi="仿宋" w:eastAsia="仿宋"/>
          <w:b w:val="0"/>
          <w:bCs w:val="0"/>
          <w:color w:val="auto"/>
          <w:sz w:val="32"/>
          <w:szCs w:val="32"/>
          <w:highlight w:val="none"/>
          <w:lang w:val="en-US" w:eastAsia="zh-CN"/>
        </w:rPr>
        <w:t>初结转和结余3.24万元，2022年末无结转和结余。</w:t>
      </w:r>
    </w:p>
    <w:p>
      <w:pPr>
        <w:pStyle w:val="12"/>
        <w:numPr>
          <w:ilvl w:val="0"/>
          <w:numId w:val="0"/>
        </w:numPr>
        <w:ind w:firstLine="640" w:firstLineChars="200"/>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spacing w:line="600" w:lineRule="exact"/>
        <w:ind w:firstLine="640" w:firstLineChars="200"/>
        <w:rPr>
          <w:rFonts w:hint="eastAsia"/>
          <w:b w:val="0"/>
          <w:bCs w:val="0"/>
          <w:color w:val="auto"/>
          <w:lang w:val="en-US" w:eastAsia="zh-CN"/>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年财政拨款收</w:t>
      </w:r>
      <w:r>
        <w:rPr>
          <w:rFonts w:hint="eastAsia" w:ascii="仿宋" w:hAnsi="仿宋" w:eastAsia="仿宋"/>
          <w:b w:val="0"/>
          <w:bCs w:val="0"/>
          <w:color w:val="auto"/>
          <w:sz w:val="32"/>
          <w:szCs w:val="32"/>
          <w:highlight w:val="none"/>
          <w:lang w:val="en-US" w:eastAsia="zh-CN"/>
        </w:rPr>
        <w:t>入</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135.02</w:t>
      </w:r>
      <w:r>
        <w:rPr>
          <w:rFonts w:hint="eastAsia" w:ascii="仿宋" w:hAnsi="仿宋" w:eastAsia="仿宋"/>
          <w:b w:val="0"/>
          <w:bCs w:val="0"/>
          <w:color w:val="auto"/>
          <w:sz w:val="32"/>
          <w:szCs w:val="32"/>
          <w:highlight w:val="none"/>
        </w:rPr>
        <w:t>万元。与20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年相比，财政拨款收</w:t>
      </w:r>
      <w:r>
        <w:rPr>
          <w:rFonts w:hint="eastAsia" w:ascii="仿宋" w:hAnsi="仿宋" w:eastAsia="仿宋"/>
          <w:b w:val="0"/>
          <w:bCs w:val="0"/>
          <w:color w:val="auto"/>
          <w:sz w:val="32"/>
          <w:szCs w:val="32"/>
          <w:highlight w:val="none"/>
          <w:lang w:val="en-US" w:eastAsia="zh-CN"/>
        </w:rPr>
        <w:t>入</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103.27万元，</w:t>
      </w:r>
      <w:r>
        <w:rPr>
          <w:rFonts w:hint="eastAsia" w:ascii="仿宋" w:hAnsi="仿宋" w:eastAsia="仿宋"/>
          <w:b w:val="0"/>
          <w:bCs w:val="0"/>
          <w:color w:val="auto"/>
          <w:sz w:val="32"/>
          <w:szCs w:val="32"/>
          <w:highlight w:val="none"/>
        </w:rPr>
        <w:t>增加</w:t>
      </w:r>
      <w:r>
        <w:rPr>
          <w:rFonts w:hint="eastAsia" w:eastAsia="方正仿宋简体" w:cs="Times New Roman"/>
          <w:b w:val="0"/>
          <w:bCs w:val="0"/>
          <w:color w:val="auto"/>
          <w:kern w:val="0"/>
          <w:sz w:val="32"/>
          <w:szCs w:val="32"/>
          <w:lang w:val="en-US" w:eastAsia="zh-CN" w:bidi="ar-SA"/>
        </w:rPr>
        <w:t>31.75</w:t>
      </w:r>
      <w:r>
        <w:rPr>
          <w:rFonts w:hint="eastAsia" w:ascii="仿宋" w:hAnsi="仿宋" w:eastAsia="仿宋"/>
          <w:b w:val="0"/>
          <w:bCs w:val="0"/>
          <w:color w:val="auto"/>
          <w:sz w:val="32"/>
          <w:szCs w:val="32"/>
          <w:highlight w:val="none"/>
        </w:rPr>
        <w:t>万元，增加</w:t>
      </w:r>
      <w:r>
        <w:rPr>
          <w:rFonts w:hint="eastAsia" w:ascii="仿宋" w:hAnsi="仿宋" w:eastAsia="仿宋"/>
          <w:b w:val="0"/>
          <w:bCs w:val="0"/>
          <w:color w:val="auto"/>
          <w:sz w:val="32"/>
          <w:szCs w:val="32"/>
          <w:highlight w:val="none"/>
          <w:lang w:val="en-US" w:eastAsia="zh-CN"/>
        </w:rPr>
        <w:t>30.74</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spacing w:line="600" w:lineRule="exact"/>
        <w:ind w:firstLine="640" w:firstLineChars="200"/>
        <w:rPr>
          <w:rFonts w:hint="eastAsia"/>
          <w:b w:val="0"/>
          <w:bCs w:val="0"/>
          <w:color w:val="auto"/>
          <w:lang w:val="en-US" w:eastAsia="zh-CN"/>
        </w:rPr>
      </w:pPr>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年度财政拨款</w:t>
      </w:r>
      <w:r>
        <w:rPr>
          <w:rFonts w:hint="eastAsia" w:ascii="仿宋" w:hAnsi="仿宋" w:eastAsia="仿宋"/>
          <w:b w:val="0"/>
          <w:bCs w:val="0"/>
          <w:color w:val="auto"/>
          <w:sz w:val="32"/>
          <w:szCs w:val="32"/>
          <w:highlight w:val="none"/>
          <w:lang w:val="en-US" w:eastAsia="zh-CN"/>
        </w:rPr>
        <w:t>支出</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138.26</w:t>
      </w:r>
      <w:r>
        <w:rPr>
          <w:rFonts w:hint="eastAsia" w:ascii="仿宋" w:hAnsi="仿宋" w:eastAsia="仿宋"/>
          <w:b w:val="0"/>
          <w:bCs w:val="0"/>
          <w:color w:val="auto"/>
          <w:sz w:val="32"/>
          <w:szCs w:val="32"/>
          <w:highlight w:val="none"/>
        </w:rPr>
        <w:t>万元。与20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年相比，财政拨款</w:t>
      </w:r>
      <w:r>
        <w:rPr>
          <w:rFonts w:hint="eastAsia" w:ascii="仿宋" w:hAnsi="仿宋" w:eastAsia="仿宋"/>
          <w:b w:val="0"/>
          <w:bCs w:val="0"/>
          <w:color w:val="auto"/>
          <w:sz w:val="32"/>
          <w:szCs w:val="32"/>
          <w:highlight w:val="none"/>
          <w:lang w:val="en-US" w:eastAsia="zh-CN"/>
        </w:rPr>
        <w:t>支出</w:t>
      </w:r>
      <w:r>
        <w:rPr>
          <w:rFonts w:hint="eastAsia" w:ascii="仿宋" w:hAnsi="仿宋" w:eastAsia="仿宋"/>
          <w:b w:val="0"/>
          <w:bCs w:val="0"/>
          <w:color w:val="auto"/>
          <w:sz w:val="32"/>
          <w:szCs w:val="32"/>
          <w:highlight w:val="none"/>
        </w:rPr>
        <w:t>总计</w:t>
      </w:r>
      <w:r>
        <w:rPr>
          <w:rFonts w:hint="eastAsia" w:ascii="仿宋" w:hAnsi="仿宋" w:eastAsia="仿宋"/>
          <w:b w:val="0"/>
          <w:bCs w:val="0"/>
          <w:color w:val="auto"/>
          <w:sz w:val="32"/>
          <w:szCs w:val="32"/>
          <w:highlight w:val="none"/>
          <w:lang w:val="en-US" w:eastAsia="zh-CN"/>
        </w:rPr>
        <w:t>133.51万元，</w:t>
      </w:r>
      <w:r>
        <w:rPr>
          <w:rFonts w:hint="eastAsia" w:ascii="仿宋" w:hAnsi="仿宋" w:eastAsia="仿宋"/>
          <w:b w:val="0"/>
          <w:bCs w:val="0"/>
          <w:color w:val="auto"/>
          <w:sz w:val="32"/>
          <w:szCs w:val="32"/>
          <w:highlight w:val="none"/>
        </w:rPr>
        <w:t>增加</w:t>
      </w:r>
      <w:r>
        <w:rPr>
          <w:rFonts w:hint="eastAsia" w:eastAsia="方正仿宋简体" w:cs="Times New Roman"/>
          <w:b w:val="0"/>
          <w:bCs w:val="0"/>
          <w:color w:val="auto"/>
          <w:kern w:val="0"/>
          <w:sz w:val="32"/>
          <w:szCs w:val="32"/>
          <w:lang w:val="en-US" w:eastAsia="zh-CN" w:bidi="ar-SA"/>
        </w:rPr>
        <w:t>4.75</w:t>
      </w:r>
      <w:r>
        <w:rPr>
          <w:rFonts w:hint="eastAsia" w:ascii="仿宋" w:hAnsi="仿宋" w:eastAsia="仿宋"/>
          <w:b w:val="0"/>
          <w:bCs w:val="0"/>
          <w:color w:val="auto"/>
          <w:sz w:val="32"/>
          <w:szCs w:val="32"/>
          <w:highlight w:val="none"/>
        </w:rPr>
        <w:t>万元，增加</w:t>
      </w:r>
      <w:r>
        <w:rPr>
          <w:rFonts w:hint="eastAsia" w:ascii="仿宋" w:hAnsi="仿宋" w:eastAsia="仿宋"/>
          <w:b w:val="0"/>
          <w:bCs w:val="0"/>
          <w:color w:val="auto"/>
          <w:sz w:val="32"/>
          <w:szCs w:val="32"/>
          <w:highlight w:val="none"/>
          <w:lang w:val="en-US" w:eastAsia="zh-CN"/>
        </w:rPr>
        <w:t>3.56</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。主要变动原因是</w:t>
      </w:r>
      <w:r>
        <w:rPr>
          <w:rFonts w:hint="eastAsia" w:ascii="仿宋" w:hAnsi="仿宋" w:eastAsia="仿宋"/>
          <w:b w:val="0"/>
          <w:bCs w:val="0"/>
          <w:color w:val="auto"/>
          <w:sz w:val="32"/>
          <w:szCs w:val="32"/>
          <w:highlight w:val="none"/>
          <w:lang w:val="en-US" w:eastAsia="zh-CN"/>
        </w:rPr>
        <w:t>人员经费和项目经费增加</w:t>
      </w:r>
      <w:r>
        <w:rPr>
          <w:rFonts w:hint="eastAsia" w:ascii="仿宋" w:hAnsi="仿宋" w:eastAsia="仿宋"/>
          <w:b w:val="0"/>
          <w:bCs w:val="0"/>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12"/>
        <w:numPr>
          <w:ilvl w:val="0"/>
          <w:numId w:val="0"/>
        </w:numPr>
        <w:ind w:firstLine="640" w:firstLineChars="200"/>
        <w:rPr>
          <w:rFonts w:hint="default"/>
          <w:b w:val="0"/>
          <w:bCs w:val="0"/>
          <w:color w:val="auto"/>
          <w:lang w:val="en-US" w:eastAsia="zh-CN"/>
        </w:rPr>
      </w:pPr>
      <w:r>
        <w:rPr>
          <w:rFonts w:hint="eastAsia"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22</w:t>
      </w:r>
      <w:r>
        <w:rPr>
          <w:rFonts w:hint="eastAsia" w:ascii="仿宋" w:hAnsi="仿宋" w:eastAsia="仿宋"/>
          <w:b w:val="0"/>
          <w:bCs w:val="0"/>
          <w:color w:val="auto"/>
          <w:sz w:val="32"/>
          <w:szCs w:val="32"/>
          <w:highlight w:val="none"/>
        </w:rPr>
        <w:t>年</w:t>
      </w:r>
      <w:r>
        <w:rPr>
          <w:rFonts w:hint="eastAsia" w:ascii="仿宋" w:hAnsi="仿宋" w:eastAsia="仿宋"/>
          <w:b w:val="0"/>
          <w:bCs w:val="0"/>
          <w:color w:val="auto"/>
          <w:sz w:val="32"/>
          <w:szCs w:val="32"/>
          <w:highlight w:val="none"/>
          <w:lang w:val="en-US" w:eastAsia="zh-CN"/>
        </w:rPr>
        <w:t>初结转和结余3.24万元，2022年末无结转和结余。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b w:val="0"/>
          <w:bCs w:val="0"/>
          <w:color w:val="auto"/>
          <w:kern w:val="0"/>
          <w:sz w:val="32"/>
          <w:szCs w:val="32"/>
          <w:highlight w:val="none"/>
          <w:shd w:val="clear" w:color="auto" w:fill="FFFFFF"/>
        </w:rPr>
      </w:pPr>
      <w:r>
        <w:rPr>
          <w:rFonts w:hint="eastAsia" w:ascii="黑体" w:hAnsi="宋体" w:eastAsia="黑体" w:cs="宋体"/>
          <w:b w:val="0"/>
          <w:bCs w:val="0"/>
          <w:color w:val="auto"/>
          <w:kern w:val="0"/>
          <w:sz w:val="32"/>
          <w:szCs w:val="32"/>
          <w:highlight w:val="none"/>
          <w:shd w:val="clear" w:color="auto" w:fill="FFFFFF"/>
        </w:rPr>
        <w:t>三、</w:t>
      </w:r>
      <w:r>
        <w:rPr>
          <w:rFonts w:hint="eastAsia" w:ascii="黑体" w:hAnsi="宋体" w:eastAsia="黑体" w:cs="宋体"/>
          <w:b w:val="0"/>
          <w:bCs w:val="0"/>
          <w:color w:val="auto"/>
          <w:kern w:val="0"/>
          <w:sz w:val="32"/>
          <w:szCs w:val="32"/>
          <w:highlight w:val="none"/>
          <w:u w:val="none"/>
          <w:shd w:val="clear" w:color="auto" w:fill="FFFFFF"/>
        </w:rPr>
        <w:t>部门整体绩效</w:t>
      </w:r>
      <w:r>
        <w:rPr>
          <w:rFonts w:hint="eastAsia" w:ascii="黑体" w:hAnsi="宋体" w:eastAsia="黑体" w:cs="宋体"/>
          <w:b w:val="0"/>
          <w:bCs w:val="0"/>
          <w:color w:val="auto"/>
          <w:kern w:val="0"/>
          <w:sz w:val="32"/>
          <w:szCs w:val="32"/>
          <w:highlight w:val="none"/>
          <w:u w:val="none"/>
          <w:shd w:val="clear" w:color="auto" w:fill="FFFFFF"/>
          <w:lang w:eastAsia="zh-CN"/>
        </w:rPr>
        <w:t>分析</w:t>
      </w:r>
      <w:r>
        <w:rPr>
          <w:rFonts w:hint="eastAsia" w:ascii="黑体" w:hAnsi="宋体" w:eastAsia="黑体" w:cs="宋体"/>
          <w:b w:val="0"/>
          <w:bCs w:val="0"/>
          <w:color w:val="auto"/>
          <w:kern w:val="0"/>
          <w:sz w:val="32"/>
          <w:szCs w:val="32"/>
          <w:highlight w:val="none"/>
          <w:shd w:val="clear" w:color="auto" w:fill="FFFFFF"/>
        </w:rPr>
        <w:t>（根据适用指标体系进行调整</w:t>
      </w:r>
      <w:r>
        <w:rPr>
          <w:rFonts w:hint="eastAsia" w:ascii="黑体" w:hAnsi="宋体" w:eastAsia="黑体" w:cs="宋体"/>
          <w:b w:val="0"/>
          <w:bCs w:val="0"/>
          <w:color w:val="auto"/>
          <w:kern w:val="0"/>
          <w:sz w:val="32"/>
          <w:szCs w:val="32"/>
          <w:highlight w:val="none"/>
          <w:shd w:val="clear" w:color="auto" w:fill="FFFFFF"/>
          <w:lang w:eastAsia="zh-CN"/>
        </w:rPr>
        <w:t>，涉及到有专项资金预算项目的部门，专项资金预算项目自评报告作为本报告附件一并公开</w:t>
      </w:r>
      <w:r>
        <w:rPr>
          <w:rFonts w:hint="eastAsia" w:ascii="黑体" w:hAnsi="宋体" w:eastAsia="黑体" w:cs="宋体"/>
          <w:b w:val="0"/>
          <w:bCs w:val="0"/>
          <w:color w:val="auto"/>
          <w:kern w:val="0"/>
          <w:sz w:val="32"/>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（一）部门预算项目绩效分析。</w:t>
      </w:r>
      <w:r>
        <w:rPr>
          <w:rFonts w:hint="eastAsia" w:ascii="仿宋_GB2312" w:hAnsi="仿宋_GB2312" w:eastAsia="仿宋_GB2312" w:cs="仿宋_GB2312"/>
          <w:b w:val="0"/>
          <w:bCs w:val="0"/>
          <w:color w:val="auto"/>
          <w:kern w:val="0"/>
          <w:sz w:val="32"/>
          <w:szCs w:val="32"/>
          <w:highlight w:val="none"/>
          <w:shd w:val="clear" w:color="auto" w:fill="FFFFFF"/>
          <w:lang w:val="zh-CN"/>
        </w:rPr>
        <w:t>（分段表述人员类、运</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转类、特定目标类项目绩效情况和存在问题）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8" w:lineRule="exact"/>
        <w:ind w:left="0" w:right="0" w:firstLine="420"/>
        <w:jc w:val="left"/>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2"/>
          <w:sz w:val="32"/>
          <w:szCs w:val="32"/>
          <w:lang w:val="en-US" w:eastAsia="zh-CN" w:bidi="ar-SA"/>
        </w:rPr>
        <w:t>按照财务预算，对人员类项目开展进行控制，加强经费预算管理，实现</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支出控制和及时处置，预算完成情况</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2"/>
          <w:sz w:val="32"/>
          <w:szCs w:val="32"/>
          <w:lang w:val="en-US" w:eastAsia="zh-CN" w:bidi="ar-SA"/>
        </w:rPr>
        <w:t>按照财务预算，对运转类项目开展进行控制，加强经费预算管理，实现</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支出控制和及时处置，预算完成情况</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无。</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部门整体绩效目标和部门履职情况均完成较好。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（三）结果应用情况。</w:t>
      </w:r>
    </w:p>
    <w:p>
      <w:pPr>
        <w:pageBreakBefore w:val="0"/>
        <w:widowControl/>
        <w:numPr>
          <w:ilvl w:val="0"/>
          <w:numId w:val="0"/>
        </w:numPr>
        <w:kinsoku/>
        <w:wordWrap/>
        <w:overflowPunct/>
        <w:topLinePunct w:val="0"/>
        <w:bidi w:val="0"/>
        <w:adjustRightInd w:val="0"/>
        <w:snapToGrid w:val="0"/>
        <w:spacing w:line="578" w:lineRule="exact"/>
        <w:ind w:firstLine="640" w:firstLineChars="200"/>
        <w:contextualSpacing/>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强化资金管理水平、增强资金绩效理念、合理配置公共资源、提高资金使用效益，并将本年绩效目标评价结果作为以后年度资金分配的重要依据。</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本部门按</w:t>
      </w:r>
      <w:r>
        <w:rPr>
          <w:rFonts w:hint="eastAsia" w:ascii="仿宋_GB2312" w:hAnsi="仿宋_GB2312" w:eastAsia="仿宋_GB2312" w:cs="仿宋_GB2312"/>
          <w:b w:val="0"/>
          <w:bCs w:val="0"/>
          <w:color w:val="auto"/>
          <w:sz w:val="32"/>
          <w:szCs w:val="32"/>
          <w:lang w:eastAsia="zh-CN"/>
        </w:rPr>
        <w:t>严格</w:t>
      </w:r>
      <w:r>
        <w:rPr>
          <w:rFonts w:hint="eastAsia" w:ascii="仿宋_GB2312" w:hAnsi="仿宋_GB2312" w:eastAsia="仿宋_GB2312" w:cs="仿宋_GB2312"/>
          <w:b w:val="0"/>
          <w:bCs w:val="0"/>
          <w:color w:val="auto"/>
          <w:sz w:val="32"/>
          <w:szCs w:val="32"/>
        </w:rPr>
        <w:t>要求对20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年部门整体支出绩效评价情况开展自评。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b w:val="0"/>
          <w:bCs w:val="0"/>
          <w:color w:val="auto"/>
          <w:kern w:val="0"/>
          <w:sz w:val="32"/>
          <w:szCs w:val="32"/>
          <w:highlight w:val="none"/>
          <w:shd w:val="clear" w:color="auto" w:fill="FFFFFF"/>
        </w:rPr>
      </w:pPr>
      <w:r>
        <w:rPr>
          <w:rFonts w:hint="eastAsia" w:ascii="黑体" w:hAnsi="宋体" w:eastAsia="黑体" w:cs="宋体"/>
          <w:b w:val="0"/>
          <w:bCs w:val="0"/>
          <w:color w:val="auto"/>
          <w:kern w:val="0"/>
          <w:sz w:val="32"/>
          <w:szCs w:val="32"/>
          <w:highlight w:val="none"/>
          <w:shd w:val="clear" w:color="auto" w:fill="FFFFFF"/>
        </w:rPr>
        <w:t>四、评价结论及建议</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b w:val="0"/>
          <w:bCs w:val="0"/>
          <w:color w:val="auto"/>
          <w:kern w:val="0"/>
          <w:sz w:val="32"/>
          <w:szCs w:val="32"/>
          <w:shd w:val="clear" w:color="auto" w:fill="FFFFFF"/>
          <w:lang w:val="zh-CN"/>
        </w:rPr>
      </w:pPr>
      <w:r>
        <w:rPr>
          <w:rFonts w:hint="eastAsia" w:ascii="仿宋_GB2312" w:hAnsi="宋体" w:eastAsia="仿宋_GB2312" w:cs="宋体"/>
          <w:b w:val="0"/>
          <w:bCs w:val="0"/>
          <w:color w:val="auto"/>
          <w:kern w:val="0"/>
          <w:sz w:val="32"/>
          <w:szCs w:val="32"/>
          <w:shd w:val="clear" w:color="auto" w:fill="FFFFFF"/>
          <w:lang w:val="zh-CN"/>
        </w:rPr>
        <w:t>（一）评价结论。</w:t>
      </w:r>
      <w:r>
        <w:rPr>
          <w:rFonts w:hint="eastAsia" w:ascii="仿宋_GB2312" w:hAnsi="仿宋_GB2312" w:eastAsia="仿宋_GB2312" w:cs="仿宋_GB2312"/>
          <w:b w:val="0"/>
          <w:bCs w:val="0"/>
          <w:color w:val="auto"/>
          <w:kern w:val="2"/>
          <w:sz w:val="32"/>
          <w:szCs w:val="32"/>
          <w:lang w:val="en-US" w:eastAsia="zh-CN" w:bidi="ar-SA"/>
        </w:rPr>
        <w:t>从总体上看，该项目规划科学、决策依据充分、资金到位及时、项目管理规范，达到了预期项目支出绩效评价效果。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8" w:lineRule="exact"/>
        <w:ind w:left="0" w:right="0" w:firstLine="42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宋体" w:eastAsia="仿宋_GB2312" w:cs="宋体"/>
          <w:b w:val="0"/>
          <w:bCs w:val="0"/>
          <w:color w:val="auto"/>
          <w:kern w:val="0"/>
          <w:sz w:val="32"/>
          <w:szCs w:val="32"/>
          <w:shd w:val="clear" w:color="auto" w:fill="FFFFFF"/>
          <w:lang w:val="zh-CN"/>
        </w:rPr>
        <w:t>（二）存在问题。</w:t>
      </w:r>
      <w:r>
        <w:rPr>
          <w:rFonts w:hint="eastAsia" w:ascii="仿宋_GB2312" w:hAnsi="仿宋_GB2312" w:eastAsia="仿宋_GB2312" w:cs="仿宋_GB2312"/>
          <w:b w:val="0"/>
          <w:bCs w:val="0"/>
          <w:color w:val="auto"/>
          <w:kern w:val="2"/>
          <w:sz w:val="32"/>
          <w:szCs w:val="32"/>
          <w:lang w:val="en-US" w:eastAsia="zh-CN" w:bidi="ar-SA"/>
        </w:rPr>
        <w:t>绩效目标设定不够精细，预算编制不够精准，绩效评价方法应用不准确。</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b w:val="0"/>
          <w:bCs w:val="0"/>
          <w:color w:val="auto"/>
          <w:kern w:val="0"/>
          <w:sz w:val="32"/>
          <w:szCs w:val="32"/>
          <w:shd w:val="clear" w:color="auto" w:fill="FFFFFF"/>
          <w:lang w:val="zh-CN"/>
        </w:rPr>
      </w:pPr>
      <w:r>
        <w:rPr>
          <w:rFonts w:hint="eastAsia" w:ascii="仿宋_GB2312" w:hAnsi="宋体" w:eastAsia="仿宋_GB2312" w:cs="宋体"/>
          <w:b w:val="0"/>
          <w:bCs w:val="0"/>
          <w:color w:val="auto"/>
          <w:kern w:val="0"/>
          <w:sz w:val="32"/>
          <w:szCs w:val="32"/>
          <w:shd w:val="clear" w:color="auto" w:fill="FFFFFF"/>
          <w:lang w:val="zh-CN"/>
        </w:rPr>
        <w:t>（三）改进建议。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8" w:lineRule="exact"/>
        <w:ind w:left="0" w:right="0" w:firstLine="42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进一步细化目标设定，进一步精准编制预算。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rPr>
      </w:pPr>
      <w:r>
        <w:rPr>
          <w:rFonts w:hint="eastAsia" w:ascii="仿宋_GB2312" w:hAnsi="仿宋_GB2312" w:eastAsia="仿宋_GB2312" w:cs="仿宋_GB2312"/>
          <w:b w:val="0"/>
          <w:bCs w:val="0"/>
          <w:color w:val="auto"/>
          <w:sz w:val="32"/>
          <w:szCs w:val="32"/>
          <w:highlight w:val="none"/>
          <w:lang w:val="zh-CN" w:eastAsia="zh-CN"/>
        </w:rPr>
        <w:t>附表：</w:t>
      </w:r>
      <w:r>
        <w:rPr>
          <w:rFonts w:hint="eastAsia" w:ascii="仿宋_GB2312" w:hAnsi="仿宋_GB2312" w:eastAsia="仿宋_GB2312" w:cs="仿宋_GB2312"/>
          <w:b w:val="0"/>
          <w:bCs w:val="0"/>
          <w:color w:val="auto"/>
          <w:sz w:val="32"/>
          <w:szCs w:val="32"/>
          <w:highlight w:val="none"/>
          <w:lang w:val="en-US" w:eastAsia="zh-CN"/>
        </w:rPr>
        <w:t>部门预算项目支出绩效自评表（2022年度）</w:t>
      </w: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zh-CN" w:eastAsia="zh-CN"/>
        </w:rPr>
      </w:pPr>
      <w:r>
        <w:rPr>
          <w:rFonts w:hint="eastAsia" w:ascii="仿宋_GB2312" w:hAnsi="仿宋_GB2312" w:eastAsia="仿宋_GB2312" w:cs="仿宋_GB2312"/>
          <w:b w:val="0"/>
          <w:bCs w:val="0"/>
          <w:color w:val="auto"/>
          <w:sz w:val="32"/>
          <w:szCs w:val="32"/>
          <w:highlight w:val="none"/>
          <w:lang w:val="en-US" w:eastAsia="zh-CN"/>
        </w:rPr>
        <w:t>（备注：按照绩效自评工作安排，各部门已在预算管理一体化系统绩效自评模块上传“部门预算项目支出绩效自评表（2022年度）”，该表格应作为附表予以公开。）</w:t>
      </w:r>
    </w:p>
    <w:p>
      <w:pPr>
        <w:pStyle w:val="12"/>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b w:val="0"/>
          <w:bCs w:val="0"/>
          <w:color w:val="auto"/>
          <w:sz w:val="32"/>
          <w:szCs w:val="32"/>
          <w:highlight w:val="none"/>
          <w:lang w:val="zh-CN" w:eastAsia="zh-CN"/>
        </w:rPr>
      </w:pPr>
    </w:p>
    <w:p>
      <w:pPr>
        <w:pStyle w:val="8"/>
        <w:rPr>
          <w:rFonts w:hint="eastAsia" w:eastAsia="仿宋_GB2312"/>
          <w:b w:val="0"/>
          <w:bCs w:val="0"/>
          <w:color w:val="auto"/>
          <w:sz w:val="32"/>
          <w:szCs w:val="32"/>
          <w:highlight w:val="none"/>
          <w:lang w:val="en-US" w:eastAsia="zh-CN"/>
        </w:rPr>
      </w:pPr>
      <w:r>
        <w:rPr>
          <w:rFonts w:hint="eastAsia" w:hAnsi="宋体" w:cs="宋体"/>
          <w:b w:val="0"/>
          <w:bCs w:val="0"/>
          <w:color w:val="auto"/>
          <w:kern w:val="0"/>
          <w:sz w:val="32"/>
          <w:szCs w:val="32"/>
          <w:highlight w:val="none"/>
          <w:shd w:val="clear" w:color="auto" w:fill="FFFFFF"/>
          <w:lang w:val="zh-CN"/>
        </w:rPr>
        <w:t>附件</w:t>
      </w:r>
      <w:r>
        <w:rPr>
          <w:rFonts w:hint="eastAsia" w:hAnsi="宋体" w:cs="宋体"/>
          <w:b w:val="0"/>
          <w:bCs w:val="0"/>
          <w:color w:val="auto"/>
          <w:kern w:val="0"/>
          <w:sz w:val="32"/>
          <w:szCs w:val="32"/>
          <w:highlight w:val="none"/>
          <w:shd w:val="clear" w:color="auto" w:fill="FFFFFF"/>
          <w:lang w:val="en-US" w:eastAsia="zh-CN"/>
        </w:rPr>
        <w:t>2</w:t>
      </w:r>
    </w:p>
    <w:p>
      <w:pPr>
        <w:pStyle w:val="36"/>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val="0"/>
          <w:bCs w:val="0"/>
          <w:color w:val="auto"/>
          <w:kern w:val="2"/>
          <w:sz w:val="32"/>
          <w:szCs w:val="32"/>
          <w:highlight w:val="none"/>
          <w:lang w:val="en-US" w:eastAsia="zh-CN"/>
        </w:rPr>
      </w:pPr>
      <w:r>
        <w:rPr>
          <w:rFonts w:hint="eastAsia" w:ascii="方正小标宋简体" w:hAnsi="方正小标宋简体" w:eastAsia="方正小标宋简体" w:cs="方正小标宋简体"/>
          <w:b w:val="0"/>
          <w:bCs w:val="0"/>
          <w:color w:val="auto"/>
          <w:kern w:val="2"/>
          <w:sz w:val="32"/>
          <w:szCs w:val="32"/>
          <w:highlight w:val="none"/>
          <w:lang w:val="en-US" w:eastAsia="zh-CN"/>
        </w:rPr>
        <w:t>2023年泸县专项资金预算项目绩效自评报告范本</w:t>
      </w:r>
    </w:p>
    <w:p>
      <w:pPr>
        <w:pStyle w:val="3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b w:val="0"/>
          <w:bCs w:val="0"/>
          <w:color w:val="auto"/>
          <w:sz w:val="32"/>
          <w:szCs w:val="32"/>
          <w:highlight w:val="none"/>
          <w:lang w:val="zh-CN"/>
        </w:rPr>
      </w:pPr>
      <w:r>
        <w:rPr>
          <w:rFonts w:hint="eastAsia" w:ascii="黑体" w:hAnsi="宋体" w:eastAsia="黑体"/>
          <w:b w:val="0"/>
          <w:bCs w:val="0"/>
          <w:color w:val="auto"/>
          <w:sz w:val="32"/>
          <w:szCs w:val="32"/>
          <w:highlight w:val="none"/>
        </w:rPr>
        <w:t>一、</w:t>
      </w:r>
      <w:r>
        <w:rPr>
          <w:rFonts w:hint="eastAsia" w:ascii="黑体" w:hAnsi="宋体" w:eastAsia="黑体"/>
          <w:b w:val="0"/>
          <w:bCs w:val="0"/>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1．说明项目主管部门（单位）在该项目管理中的职能。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2．项目立项、资金申报的依据，</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包括但不限于</w:t>
      </w:r>
      <w:r>
        <w:rPr>
          <w:rFonts w:hint="eastAsia" w:ascii="仿宋_GB2312" w:hAnsi="仿宋_GB2312" w:cs="仿宋_GB2312"/>
          <w:b w:val="0"/>
          <w:bCs w:val="0"/>
          <w:color w:val="auto"/>
          <w:kern w:val="0"/>
          <w:sz w:val="32"/>
          <w:szCs w:val="32"/>
          <w:highlight w:val="none"/>
          <w:u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项目涉及</w:t>
      </w:r>
      <w:r>
        <w:rPr>
          <w:rFonts w:hint="eastAsia" w:ascii="仿宋_GB2312" w:hAnsi="仿宋_GB2312" w:cs="仿宋_GB2312"/>
          <w:b w:val="0"/>
          <w:bCs w:val="0"/>
          <w:color w:val="auto"/>
          <w:kern w:val="0"/>
          <w:sz w:val="32"/>
          <w:szCs w:val="32"/>
          <w:highlight w:val="none"/>
          <w:u w:val="none"/>
          <w:shd w:val="clear" w:color="auto" w:fill="FFFFFF"/>
          <w:lang w:val="en-US" w:eastAsia="zh-CN"/>
        </w:rPr>
        <w:t>的中省</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相关政策文件</w:t>
      </w:r>
      <w:r>
        <w:rPr>
          <w:rFonts w:hint="eastAsia" w:ascii="仿宋_GB2312" w:hAnsi="仿宋_GB2312" w:cs="仿宋_GB2312"/>
          <w:b w:val="0"/>
          <w:bCs w:val="0"/>
          <w:color w:val="auto"/>
          <w:kern w:val="0"/>
          <w:sz w:val="32"/>
          <w:szCs w:val="32"/>
          <w:highlight w:val="none"/>
          <w:u w:val="none"/>
          <w:shd w:val="clear" w:color="auto" w:fill="FFFFFF"/>
          <w:lang w:val="en-US" w:eastAsia="zh-CN"/>
        </w:rPr>
        <w:t>和</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规划</w:t>
      </w:r>
      <w:r>
        <w:rPr>
          <w:rFonts w:hint="eastAsia" w:ascii="仿宋_GB2312" w:hAnsi="仿宋_GB2312" w:cs="仿宋_GB2312"/>
          <w:b w:val="0"/>
          <w:bCs w:val="0"/>
          <w:color w:val="auto"/>
          <w:kern w:val="0"/>
          <w:sz w:val="32"/>
          <w:szCs w:val="32"/>
          <w:highlight w:val="none"/>
          <w:u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项目设立论证资料</w:t>
      </w:r>
      <w:r>
        <w:rPr>
          <w:rFonts w:hint="eastAsia" w:ascii="仿宋_GB2312" w:hAnsi="仿宋_GB2312" w:cs="仿宋_GB2312"/>
          <w:b w:val="0"/>
          <w:bCs w:val="0"/>
          <w:color w:val="auto"/>
          <w:kern w:val="0"/>
          <w:sz w:val="32"/>
          <w:szCs w:val="32"/>
          <w:highlight w:val="none"/>
          <w:u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资金安排相关文件</w:t>
      </w:r>
      <w:r>
        <w:rPr>
          <w:rFonts w:hint="eastAsia" w:ascii="仿宋_GB2312" w:hAnsi="仿宋_GB2312" w:cs="仿宋_GB2312"/>
          <w:b w:val="0"/>
          <w:bCs w:val="0"/>
          <w:color w:val="auto"/>
          <w:kern w:val="0"/>
          <w:sz w:val="32"/>
          <w:szCs w:val="32"/>
          <w:highlight w:val="none"/>
          <w:u w:val="none"/>
          <w:shd w:val="clear" w:color="auto" w:fill="FFFFFF"/>
          <w:lang w:val="en-US" w:eastAsia="zh-CN"/>
        </w:rPr>
        <w:t>等</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。附相关文件资料</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3．资金</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或项目</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管理办法制定情况，资金支持具体项目的条件、范围与支持方式概况。</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附资金或项目管理办法。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4．资金分配的原则及考虑因素。</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1．项目主要内容。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包括但不限于</w:t>
      </w:r>
      <w:r>
        <w:rPr>
          <w:rFonts w:hint="eastAsia" w:ascii="仿宋_GB2312" w:hAnsi="仿宋_GB2312" w:cs="仿宋_GB2312"/>
          <w:b w:val="0"/>
          <w:bCs w:val="0"/>
          <w:color w:val="auto"/>
          <w:kern w:val="0"/>
          <w:sz w:val="32"/>
          <w:szCs w:val="32"/>
          <w:highlight w:val="none"/>
          <w:u w:val="none"/>
          <w:shd w:val="clear" w:color="auto" w:fill="FFFFFF"/>
          <w:lang w:val="en-US" w:eastAsia="zh-CN"/>
        </w:rPr>
        <w:t>：绩效</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目标的量化细化情况</w:t>
      </w:r>
      <w:r>
        <w:rPr>
          <w:rFonts w:hint="eastAsia" w:ascii="仿宋_GB2312" w:hAnsi="仿宋_GB2312" w:cs="仿宋_GB2312"/>
          <w:b w:val="0"/>
          <w:bCs w:val="0"/>
          <w:color w:val="auto"/>
          <w:kern w:val="0"/>
          <w:sz w:val="32"/>
          <w:szCs w:val="32"/>
          <w:highlight w:val="none"/>
          <w:u w:val="none"/>
          <w:shd w:val="clear" w:color="auto" w:fill="FFFFFF"/>
          <w:lang w:val="zh-CN"/>
        </w:rPr>
        <w:t>、</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项目实施进度计划等。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说明项目绩效自评采用的组织实施步骤及方法。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说明项目资金申报、批复及预算调整等程序的相关情况。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1．资金计划。在说明该项目全省资金计划的基础上，分项目大类或市（州）分别说明各类资金计划情况，包括中央、省、市（州）、县（市、区）财政资金</w:t>
      </w:r>
      <w:r>
        <w:rPr>
          <w:rFonts w:hint="eastAsia" w:ascii="仿宋_GB2312" w:hAnsi="仿宋_GB2312" w:cs="仿宋_GB2312"/>
          <w:b w:val="0"/>
          <w:bCs w:val="0"/>
          <w:color w:val="auto"/>
          <w:kern w:val="0"/>
          <w:sz w:val="32"/>
          <w:szCs w:val="32"/>
          <w:highlight w:val="none"/>
          <w:u w:val="none"/>
          <w:shd w:val="clear" w:color="auto" w:fill="FFFFFF"/>
          <w:lang w:val="zh-CN"/>
        </w:rPr>
        <w:t>，</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项目单位自筹</w:t>
      </w:r>
      <w:r>
        <w:rPr>
          <w:rFonts w:hint="eastAsia" w:ascii="仿宋_GB2312" w:hAnsi="仿宋_GB2312" w:cs="仿宋_GB2312"/>
          <w:b w:val="0"/>
          <w:bCs w:val="0"/>
          <w:color w:val="auto"/>
          <w:kern w:val="0"/>
          <w:sz w:val="32"/>
          <w:szCs w:val="32"/>
          <w:highlight w:val="none"/>
          <w:u w:val="none"/>
          <w:shd w:val="clear" w:color="auto" w:fill="FFFFFF"/>
          <w:lang w:val="zh-CN"/>
        </w:rPr>
        <w:t>，</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其他渠道资金（包括银行贷款及其他资金等）。</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2．资金到位。汇总统计截止评价时点该项目全省资金到位情况。在此基础上分项目大类或市（州）分别统计各类资金到位情况，包括中央、省、市（州）、县（市、区）财政资金</w:t>
      </w:r>
      <w:r>
        <w:rPr>
          <w:rFonts w:hint="eastAsia" w:ascii="仿宋_GB2312" w:hAnsi="仿宋_GB2312" w:cs="仿宋_GB2312"/>
          <w:b w:val="0"/>
          <w:bCs w:val="0"/>
          <w:color w:val="auto"/>
          <w:kern w:val="0"/>
          <w:sz w:val="32"/>
          <w:szCs w:val="32"/>
          <w:highlight w:val="none"/>
          <w:u w:val="none"/>
          <w:shd w:val="clear" w:color="auto" w:fill="FFFFFF"/>
          <w:lang w:val="zh-CN"/>
        </w:rPr>
        <w:t>，</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项目单位自筹及其他渠道资金（包括银行贷款及其他资金等）。将资金到位情况与资金计划进行比对，并重点围绕资金到位率、到位及时性等进行评价，对未到位或到位不及时的情况作出分析说明。</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3．资金使用。汇总统计截止评价时点该项目全省资金支出情况。在此基础上分项目大类或市（州）</w:t>
      </w:r>
      <w:r>
        <w:rPr>
          <w:rFonts w:hint="eastAsia" w:ascii="仿宋_GB2312" w:hAnsi="仿宋_GB2312" w:cs="仿宋_GB2312"/>
          <w:b w:val="0"/>
          <w:bCs w:val="0"/>
          <w:color w:val="auto"/>
          <w:kern w:val="0"/>
          <w:sz w:val="32"/>
          <w:szCs w:val="32"/>
          <w:highlight w:val="none"/>
          <w:u w:val="none"/>
          <w:shd w:val="clear" w:color="auto" w:fill="FFFFFF"/>
          <w:lang w:val="zh-CN"/>
        </w:rPr>
        <w:t>分别</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统计资金支出情况，并对资金使用的安全性、规范性</w:t>
      </w:r>
      <w:r>
        <w:rPr>
          <w:rFonts w:hint="eastAsia" w:ascii="仿宋_GB2312" w:hAnsi="仿宋_GB2312" w:cs="仿宋_GB2312"/>
          <w:b w:val="0"/>
          <w:bCs w:val="0"/>
          <w:color w:val="auto"/>
          <w:kern w:val="0"/>
          <w:sz w:val="32"/>
          <w:szCs w:val="32"/>
          <w:highlight w:val="none"/>
          <w:u w:val="none"/>
          <w:shd w:val="clear" w:color="auto" w:fill="FFFFFF"/>
          <w:lang w:val="zh-CN"/>
        </w:rPr>
        <w:t>、</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有效性进行重点分析，包括资金支付范围、支付标准、支付进度、支付依据等是否合规合法、是否与预算相符，并对自评中发现的相关问题进行分析说明。</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总体评价各项目实施单位财务管理制度是否健全，是否严格执行财务管理制度，账务处理是否及时，会计核算是否规范等。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三、项目实施及管理情况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（二）项目管理情况。</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结合项目特点，总体评价各项目实施单位执行相关法律法规</w:t>
      </w:r>
      <w:r>
        <w:rPr>
          <w:rFonts w:hint="eastAsia" w:ascii="仿宋_GB2312" w:hAnsi="仿宋_GB2312" w:cs="仿宋_GB2312"/>
          <w:b w:val="0"/>
          <w:bCs w:val="0"/>
          <w:color w:val="auto"/>
          <w:kern w:val="0"/>
          <w:sz w:val="32"/>
          <w:szCs w:val="32"/>
          <w:highlight w:val="none"/>
          <w:u w:val="none"/>
          <w:shd w:val="clear" w:color="auto" w:fill="FFFFFF"/>
          <w:lang w:val="zh-CN"/>
        </w:rPr>
        <w:t>、</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项目管理制度等情况，如招投标、政府采购、项目公示制等相关规定。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（三）项目监管情况。</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说明项目主管部门为加强项目管理所采取的监管手段、监管程序、监管工作开展情况及实现的效果等。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b w:val="0"/>
          <w:bCs w:val="0"/>
          <w:color w:val="auto"/>
          <w:sz w:val="32"/>
          <w:szCs w:val="32"/>
          <w:highlight w:val="none"/>
          <w:u w:val="none"/>
          <w:lang w:val="zh-CN"/>
        </w:rPr>
      </w:pPr>
      <w:r>
        <w:rPr>
          <w:rFonts w:hint="eastAsia" w:ascii="黑体" w:hAnsi="宋体" w:eastAsia="黑体"/>
          <w:b w:val="0"/>
          <w:bCs w:val="0"/>
          <w:color w:val="auto"/>
          <w:sz w:val="32"/>
          <w:szCs w:val="32"/>
          <w:highlight w:val="none"/>
          <w:u w:val="none"/>
        </w:rPr>
        <w:t>四、项目绩效情况</w:t>
      </w:r>
      <w:r>
        <w:rPr>
          <w:rFonts w:hint="eastAsia" w:ascii="仿宋_GB2312" w:hAnsi="宋体"/>
          <w:b w:val="0"/>
          <w:bCs w:val="0"/>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分项目类别对应项目安排时确定的绩效目标完成情况</w:t>
      </w:r>
      <w:r>
        <w:rPr>
          <w:rFonts w:hint="eastAsia" w:ascii="仿宋_GB2312" w:hAnsi="仿宋_GB2312" w:cs="仿宋_GB2312"/>
          <w:b w:val="0"/>
          <w:bCs w:val="0"/>
          <w:color w:val="auto"/>
          <w:kern w:val="0"/>
          <w:sz w:val="32"/>
          <w:szCs w:val="32"/>
          <w:highlight w:val="none"/>
          <w:u w:val="none"/>
          <w:shd w:val="clear" w:color="auto" w:fill="FFFFFF"/>
          <w:lang w:val="en-US" w:eastAsia="zh-CN"/>
        </w:rPr>
        <w:t>进行</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分析，</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包括项目完成数量、质量、时效、成本等情况，资金结余情况，违规记录等，对照项目计划完成目标对截止评价时点的任务量完成、质量标准、进度计划、成本控制目标的实现程度进行评价，并进行分析说明。</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分项目类别</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从项目经济效益、社会效益、生态效益、可持续效益以及服务对象满意度等方面对项目效益进行全面分析评价。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b w:val="0"/>
          <w:bCs w:val="0"/>
          <w:color w:val="auto"/>
          <w:sz w:val="32"/>
          <w:szCs w:val="32"/>
          <w:highlight w:val="none"/>
          <w:u w:val="none"/>
        </w:rPr>
      </w:pPr>
      <w:r>
        <w:rPr>
          <w:rFonts w:hint="eastAsia" w:ascii="黑体" w:hAnsi="宋体" w:eastAsia="黑体"/>
          <w:b w:val="0"/>
          <w:bCs w:val="0"/>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结合项目自身特点、评价重点及管理办法等要求，围绕项目支出绩效评价指标体系对项目进行总体评价。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结合自评情况，分析存在的问题及原因。</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从政策与实际需求层面、程序与实际执行是否相符等方面。</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Style w:val="30"/>
          <w:rFonts w:ascii="黑体" w:hAnsi="黑体" w:eastAsia="黑体"/>
          <w:b w:val="0"/>
          <w:bCs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针对项目自评中发现的问题，提出下一步改进完善的意见及有关政策性建议。</w:t>
      </w:r>
    </w:p>
    <w:p>
      <w:pPr>
        <w:autoSpaceDE w:val="0"/>
        <w:autoSpaceDN w:val="0"/>
        <w:adjustRightInd w:val="0"/>
        <w:spacing w:line="600" w:lineRule="exact"/>
        <w:ind w:firstLine="640" w:firstLineChars="200"/>
        <w:jc w:val="both"/>
        <w:rPr>
          <w:rFonts w:ascii="仿宋" w:hAnsi="仿宋" w:eastAsia="仿宋"/>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（以上绩效自评报告，除涉密敏感内容外，原则上都应予以公开。）</w:t>
      </w:r>
    </w:p>
    <w:p>
      <w:pPr>
        <w:spacing w:line="580" w:lineRule="exact"/>
        <w:rPr>
          <w:rStyle w:val="30"/>
          <w:rFonts w:ascii="黑体" w:hAnsi="黑体" w:eastAsia="黑体"/>
          <w:b w:val="0"/>
          <w:bCs w:val="0"/>
          <w:color w:val="auto"/>
          <w:highlight w:val="none"/>
        </w:rPr>
      </w:pPr>
    </w:p>
    <w:p>
      <w:pPr>
        <w:widowControl/>
        <w:jc w:val="left"/>
        <w:rPr>
          <w:rStyle w:val="30"/>
          <w:rFonts w:ascii="黑体" w:hAnsi="黑体" w:eastAsia="黑体"/>
          <w:b w:val="0"/>
          <w:bCs w:val="0"/>
          <w:color w:val="auto"/>
          <w:highlight w:val="none"/>
        </w:rPr>
      </w:pPr>
      <w:r>
        <w:rPr>
          <w:rStyle w:val="30"/>
          <w:rFonts w:ascii="黑体" w:hAnsi="黑体" w:eastAsia="黑体"/>
          <w:b w:val="0"/>
          <w:bCs w:val="0"/>
          <w:color w:val="auto"/>
          <w:highlight w:val="none"/>
        </w:rPr>
        <w:br w:type="page"/>
      </w:r>
    </w:p>
    <w:p>
      <w:pPr>
        <w:spacing w:line="600" w:lineRule="exact"/>
        <w:jc w:val="center"/>
        <w:outlineLvl w:val="0"/>
        <w:rPr>
          <w:rFonts w:hint="eastAsia" w:ascii="仿宋" w:hAnsi="仿宋" w:eastAsia="仿宋"/>
          <w:b w:val="0"/>
          <w:bCs w:val="0"/>
          <w:color w:val="auto"/>
          <w:highlight w:val="none"/>
        </w:rPr>
      </w:pPr>
      <w:bookmarkStart w:id="53" w:name="_Toc15396618"/>
      <w:r>
        <w:rPr>
          <w:rFonts w:hint="eastAsia" w:ascii="黑体" w:hAnsi="黑体" w:eastAsia="黑体"/>
          <w:b w:val="0"/>
          <w:bCs w:val="0"/>
          <w:color w:val="auto"/>
          <w:sz w:val="44"/>
          <w:szCs w:val="44"/>
          <w:highlight w:val="none"/>
        </w:rPr>
        <w:t>第</w:t>
      </w:r>
      <w:r>
        <w:rPr>
          <w:rStyle w:val="30"/>
          <w:rFonts w:hint="eastAsia" w:ascii="黑体" w:hAnsi="黑体" w:eastAsia="黑体"/>
          <w:b w:val="0"/>
          <w:bCs w:val="0"/>
          <w:color w:val="auto"/>
          <w:highlight w:val="none"/>
        </w:rPr>
        <w:t>五部分 附表</w:t>
      </w:r>
      <w:bookmarkEnd w:id="51"/>
      <w:bookmarkEnd w:id="53"/>
      <w:bookmarkStart w:id="54" w:name="_Toc15396619"/>
    </w:p>
    <w:p>
      <w:pPr>
        <w:pStyle w:val="4"/>
        <w:rPr>
          <w:rFonts w:ascii="仿宋" w:hAnsi="仿宋" w:eastAsia="仿宋"/>
          <w:b w:val="0"/>
          <w:bCs w:val="0"/>
          <w:color w:val="auto"/>
          <w:highlight w:val="none"/>
        </w:rPr>
      </w:pPr>
      <w:r>
        <w:rPr>
          <w:rFonts w:hint="eastAsia" w:ascii="仿宋" w:hAnsi="仿宋" w:eastAsia="仿宋"/>
          <w:b w:val="0"/>
          <w:bCs w:val="0"/>
          <w:color w:val="auto"/>
          <w:highlight w:val="none"/>
        </w:rPr>
        <w:t>一、收</w:t>
      </w:r>
      <w:r>
        <w:rPr>
          <w:rStyle w:val="31"/>
          <w:rFonts w:hint="eastAsia" w:ascii="仿宋" w:hAnsi="仿宋" w:eastAsia="仿宋"/>
          <w:b w:val="0"/>
          <w:bCs w:val="0"/>
          <w:color w:val="auto"/>
          <w:highlight w:val="none"/>
        </w:rPr>
        <w:t>入支出决算总表</w:t>
      </w:r>
      <w:bookmarkEnd w:id="54"/>
    </w:p>
    <w:p>
      <w:pPr>
        <w:pStyle w:val="4"/>
        <w:rPr>
          <w:rFonts w:ascii="仿宋" w:hAnsi="仿宋" w:eastAsia="仿宋"/>
          <w:b w:val="0"/>
          <w:bCs w:val="0"/>
          <w:color w:val="auto"/>
          <w:highlight w:val="none"/>
        </w:rPr>
      </w:pPr>
      <w:bookmarkStart w:id="55" w:name="_Toc15396620"/>
      <w:r>
        <w:rPr>
          <w:rFonts w:hint="eastAsia" w:ascii="仿宋" w:hAnsi="仿宋" w:eastAsia="仿宋"/>
          <w:b w:val="0"/>
          <w:bCs w:val="0"/>
          <w:color w:val="auto"/>
          <w:highlight w:val="none"/>
        </w:rPr>
        <w:t>二、收</w:t>
      </w:r>
      <w:r>
        <w:rPr>
          <w:rStyle w:val="31"/>
          <w:rFonts w:hint="eastAsia" w:ascii="仿宋" w:hAnsi="仿宋" w:eastAsia="仿宋"/>
          <w:b w:val="0"/>
          <w:bCs w:val="0"/>
          <w:color w:val="auto"/>
          <w:highlight w:val="none"/>
        </w:rPr>
        <w:t>入决算表</w:t>
      </w:r>
      <w:bookmarkEnd w:id="55"/>
    </w:p>
    <w:p>
      <w:pPr>
        <w:pStyle w:val="4"/>
        <w:rPr>
          <w:rFonts w:ascii="仿宋" w:hAnsi="仿宋" w:eastAsia="仿宋"/>
          <w:b w:val="0"/>
          <w:bCs w:val="0"/>
          <w:color w:val="auto"/>
          <w:highlight w:val="none"/>
        </w:rPr>
      </w:pPr>
      <w:bookmarkStart w:id="56" w:name="_Toc15396621"/>
      <w:r>
        <w:rPr>
          <w:rStyle w:val="31"/>
          <w:rFonts w:hint="eastAsia" w:ascii="仿宋" w:hAnsi="仿宋" w:eastAsia="仿宋"/>
          <w:b w:val="0"/>
          <w:bCs w:val="0"/>
          <w:color w:val="auto"/>
          <w:highlight w:val="none"/>
        </w:rPr>
        <w:t>三、</w:t>
      </w:r>
      <w:r>
        <w:rPr>
          <w:rFonts w:hint="eastAsia" w:ascii="仿宋" w:hAnsi="仿宋" w:eastAsia="仿宋"/>
          <w:b w:val="0"/>
          <w:bCs w:val="0"/>
          <w:color w:val="auto"/>
          <w:highlight w:val="none"/>
        </w:rPr>
        <w:t>支</w:t>
      </w:r>
      <w:r>
        <w:rPr>
          <w:rStyle w:val="31"/>
          <w:rFonts w:hint="eastAsia" w:ascii="仿宋" w:hAnsi="仿宋" w:eastAsia="仿宋"/>
          <w:b w:val="0"/>
          <w:bCs w:val="0"/>
          <w:color w:val="auto"/>
          <w:highlight w:val="none"/>
        </w:rPr>
        <w:t>出决算表</w:t>
      </w:r>
      <w:bookmarkEnd w:id="56"/>
    </w:p>
    <w:p>
      <w:pPr>
        <w:pStyle w:val="4"/>
        <w:rPr>
          <w:rFonts w:ascii="仿宋" w:hAnsi="仿宋" w:eastAsia="仿宋"/>
          <w:b w:val="0"/>
          <w:bCs w:val="0"/>
          <w:color w:val="auto"/>
          <w:highlight w:val="none"/>
        </w:rPr>
      </w:pPr>
      <w:bookmarkStart w:id="57" w:name="_Toc15396622"/>
      <w:r>
        <w:rPr>
          <w:rStyle w:val="31"/>
          <w:rFonts w:hint="eastAsia" w:ascii="仿宋" w:hAnsi="仿宋" w:eastAsia="仿宋"/>
          <w:b w:val="0"/>
          <w:bCs w:val="0"/>
          <w:color w:val="auto"/>
          <w:highlight w:val="none"/>
        </w:rPr>
        <w:t>四、</w:t>
      </w:r>
      <w:r>
        <w:rPr>
          <w:rFonts w:hint="eastAsia" w:ascii="仿宋" w:hAnsi="仿宋" w:eastAsia="仿宋"/>
          <w:b w:val="0"/>
          <w:bCs w:val="0"/>
          <w:color w:val="auto"/>
          <w:highlight w:val="none"/>
        </w:rPr>
        <w:t>财</w:t>
      </w:r>
      <w:r>
        <w:rPr>
          <w:rStyle w:val="31"/>
          <w:rFonts w:hint="eastAsia" w:ascii="仿宋" w:hAnsi="仿宋" w:eastAsia="仿宋"/>
          <w:b w:val="0"/>
          <w:bCs w:val="0"/>
          <w:color w:val="auto"/>
          <w:highlight w:val="none"/>
        </w:rPr>
        <w:t>政拨款收入支出决算总表</w:t>
      </w:r>
      <w:bookmarkEnd w:id="57"/>
    </w:p>
    <w:p>
      <w:pPr>
        <w:pStyle w:val="4"/>
        <w:rPr>
          <w:rStyle w:val="31"/>
          <w:rFonts w:ascii="仿宋" w:hAnsi="仿宋" w:eastAsia="仿宋"/>
          <w:b w:val="0"/>
          <w:bCs w:val="0"/>
          <w:color w:val="auto"/>
          <w:highlight w:val="none"/>
        </w:rPr>
      </w:pPr>
      <w:bookmarkStart w:id="58" w:name="_Toc15396623"/>
      <w:r>
        <w:rPr>
          <w:rStyle w:val="31"/>
          <w:rFonts w:hint="eastAsia" w:ascii="仿宋" w:hAnsi="仿宋" w:eastAsia="仿宋"/>
          <w:b w:val="0"/>
          <w:bCs w:val="0"/>
          <w:color w:val="auto"/>
          <w:highlight w:val="none"/>
        </w:rPr>
        <w:t>五、</w:t>
      </w:r>
      <w:r>
        <w:rPr>
          <w:rFonts w:hint="eastAsia" w:ascii="仿宋" w:hAnsi="仿宋" w:eastAsia="仿宋"/>
          <w:b w:val="0"/>
          <w:bCs w:val="0"/>
          <w:color w:val="auto"/>
          <w:highlight w:val="none"/>
        </w:rPr>
        <w:t>财</w:t>
      </w:r>
      <w:r>
        <w:rPr>
          <w:rStyle w:val="31"/>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b w:val="0"/>
          <w:bCs w:val="0"/>
          <w:color w:val="auto"/>
          <w:highlight w:val="none"/>
        </w:rPr>
      </w:pPr>
      <w:r>
        <w:rPr>
          <w:rStyle w:val="31"/>
          <w:rFonts w:hint="eastAsia" w:ascii="仿宋" w:hAnsi="仿宋" w:eastAsia="仿宋"/>
          <w:b w:val="0"/>
          <w:bCs w:val="0"/>
          <w:color w:val="auto"/>
          <w:highlight w:val="none"/>
        </w:rPr>
        <w:t>六、</w:t>
      </w:r>
      <w:r>
        <w:rPr>
          <w:rFonts w:hint="eastAsia" w:ascii="仿宋" w:hAnsi="仿宋" w:eastAsia="仿宋"/>
          <w:b w:val="0"/>
          <w:bCs w:val="0"/>
          <w:color w:val="auto"/>
          <w:highlight w:val="none"/>
        </w:rPr>
        <w:t>一</w:t>
      </w:r>
      <w:r>
        <w:rPr>
          <w:rStyle w:val="31"/>
          <w:rFonts w:hint="eastAsia" w:ascii="仿宋" w:hAnsi="仿宋" w:eastAsia="仿宋"/>
          <w:b w:val="0"/>
          <w:bCs w:val="0"/>
          <w:color w:val="auto"/>
          <w:highlight w:val="none"/>
        </w:rPr>
        <w:t>般公共预算财政拨款支出决算表</w:t>
      </w:r>
      <w:bookmarkEnd w:id="59"/>
    </w:p>
    <w:p>
      <w:pPr>
        <w:pStyle w:val="4"/>
        <w:rPr>
          <w:rFonts w:ascii="仿宋" w:hAnsi="仿宋" w:eastAsia="仿宋"/>
          <w:b w:val="0"/>
          <w:bCs w:val="0"/>
          <w:color w:val="auto"/>
          <w:highlight w:val="none"/>
        </w:rPr>
      </w:pPr>
      <w:bookmarkStart w:id="60" w:name="_Toc15396625"/>
      <w:r>
        <w:rPr>
          <w:rStyle w:val="31"/>
          <w:rFonts w:hint="eastAsia" w:ascii="仿宋" w:hAnsi="仿宋" w:eastAsia="仿宋"/>
          <w:b w:val="0"/>
          <w:bCs w:val="0"/>
          <w:color w:val="auto"/>
          <w:highlight w:val="none"/>
        </w:rPr>
        <w:t>七、</w:t>
      </w:r>
      <w:r>
        <w:rPr>
          <w:rFonts w:hint="eastAsia" w:ascii="仿宋" w:hAnsi="仿宋" w:eastAsia="仿宋"/>
          <w:b w:val="0"/>
          <w:bCs w:val="0"/>
          <w:color w:val="auto"/>
          <w:highlight w:val="none"/>
        </w:rPr>
        <w:t>一</w:t>
      </w:r>
      <w:r>
        <w:rPr>
          <w:rStyle w:val="31"/>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b w:val="0"/>
          <w:bCs w:val="0"/>
          <w:color w:val="auto"/>
          <w:highlight w:val="none"/>
        </w:rPr>
      </w:pPr>
      <w:bookmarkStart w:id="61" w:name="_Toc15396626"/>
      <w:r>
        <w:rPr>
          <w:rStyle w:val="31"/>
          <w:rFonts w:hint="eastAsia" w:ascii="仿宋" w:hAnsi="仿宋" w:eastAsia="仿宋"/>
          <w:b w:val="0"/>
          <w:bCs w:val="0"/>
          <w:color w:val="auto"/>
          <w:highlight w:val="none"/>
        </w:rPr>
        <w:t>八、</w:t>
      </w:r>
      <w:r>
        <w:rPr>
          <w:rFonts w:hint="eastAsia" w:ascii="仿宋" w:hAnsi="仿宋" w:eastAsia="仿宋"/>
          <w:b w:val="0"/>
          <w:bCs w:val="0"/>
          <w:color w:val="auto"/>
          <w:highlight w:val="none"/>
        </w:rPr>
        <w:t>一</w:t>
      </w:r>
      <w:r>
        <w:rPr>
          <w:rStyle w:val="31"/>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b w:val="0"/>
          <w:bCs w:val="0"/>
          <w:color w:val="auto"/>
          <w:highlight w:val="none"/>
        </w:rPr>
      </w:pPr>
      <w:bookmarkStart w:id="62" w:name="_Toc15396627"/>
      <w:r>
        <w:rPr>
          <w:rStyle w:val="31"/>
          <w:rFonts w:hint="eastAsia" w:ascii="仿宋" w:hAnsi="仿宋" w:eastAsia="仿宋"/>
          <w:b w:val="0"/>
          <w:bCs w:val="0"/>
          <w:color w:val="auto"/>
          <w:highlight w:val="none"/>
        </w:rPr>
        <w:t>九、</w:t>
      </w:r>
      <w:r>
        <w:rPr>
          <w:rFonts w:hint="eastAsia" w:ascii="仿宋" w:hAnsi="仿宋" w:eastAsia="仿宋"/>
          <w:b w:val="0"/>
          <w:bCs w:val="0"/>
          <w:color w:val="auto"/>
          <w:highlight w:val="none"/>
        </w:rPr>
        <w:t>一</w:t>
      </w:r>
      <w:r>
        <w:rPr>
          <w:rStyle w:val="31"/>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b w:val="0"/>
          <w:bCs w:val="0"/>
          <w:color w:val="auto"/>
          <w:highlight w:val="none"/>
        </w:rPr>
      </w:pPr>
      <w:bookmarkStart w:id="63" w:name="_Toc15396628"/>
      <w:r>
        <w:rPr>
          <w:rStyle w:val="31"/>
          <w:rFonts w:hint="eastAsia" w:ascii="仿宋" w:hAnsi="仿宋" w:eastAsia="仿宋"/>
          <w:b w:val="0"/>
          <w:bCs w:val="0"/>
          <w:color w:val="auto"/>
          <w:highlight w:val="none"/>
        </w:rPr>
        <w:t>十、</w:t>
      </w:r>
      <w:bookmarkEnd w:id="63"/>
      <w:r>
        <w:rPr>
          <w:rFonts w:hint="eastAsia" w:ascii="仿宋" w:hAnsi="仿宋" w:eastAsia="仿宋"/>
          <w:b w:val="0"/>
          <w:bCs w:val="0"/>
          <w:color w:val="auto"/>
          <w:highlight w:val="none"/>
        </w:rPr>
        <w:t>政</w:t>
      </w:r>
      <w:r>
        <w:rPr>
          <w:rStyle w:val="31"/>
          <w:rFonts w:hint="eastAsia" w:ascii="仿宋" w:hAnsi="仿宋" w:eastAsia="仿宋"/>
          <w:b w:val="0"/>
          <w:bCs w:val="0"/>
          <w:color w:val="auto"/>
          <w:highlight w:val="none"/>
        </w:rPr>
        <w:t>府性基金预算财政拨款收入支出决算表</w:t>
      </w:r>
    </w:p>
    <w:p>
      <w:pPr>
        <w:pStyle w:val="4"/>
        <w:rPr>
          <w:rFonts w:ascii="仿宋" w:hAnsi="仿宋" w:eastAsia="仿宋"/>
          <w:b w:val="0"/>
          <w:bCs w:val="0"/>
          <w:color w:val="auto"/>
          <w:highlight w:val="none"/>
        </w:rPr>
      </w:pPr>
      <w:bookmarkStart w:id="64" w:name="_Toc15396629"/>
      <w:r>
        <w:rPr>
          <w:rStyle w:val="31"/>
          <w:rFonts w:hint="eastAsia" w:ascii="仿宋" w:hAnsi="仿宋" w:eastAsia="仿宋"/>
          <w:b w:val="0"/>
          <w:bCs w:val="0"/>
          <w:color w:val="auto"/>
          <w:highlight w:val="none"/>
        </w:rPr>
        <w:t>十一、</w:t>
      </w:r>
      <w:bookmarkEnd w:id="64"/>
      <w:r>
        <w:rPr>
          <w:rFonts w:hint="eastAsia" w:ascii="仿宋" w:hAnsi="仿宋" w:eastAsia="仿宋"/>
          <w:b w:val="0"/>
          <w:bCs w:val="0"/>
          <w:color w:val="auto"/>
          <w:highlight w:val="none"/>
        </w:rPr>
        <w:t>国</w:t>
      </w:r>
      <w:r>
        <w:rPr>
          <w:rStyle w:val="31"/>
          <w:rFonts w:hint="eastAsia" w:ascii="仿宋" w:hAnsi="仿宋" w:eastAsia="仿宋"/>
          <w:b w:val="0"/>
          <w:bCs w:val="0"/>
          <w:color w:val="auto"/>
          <w:highlight w:val="none"/>
        </w:rPr>
        <w:t>有资本经营预算</w:t>
      </w:r>
      <w:r>
        <w:rPr>
          <w:rStyle w:val="31"/>
          <w:rFonts w:hint="eastAsia" w:ascii="仿宋" w:hAnsi="仿宋" w:eastAsia="仿宋"/>
          <w:b w:val="0"/>
          <w:bCs w:val="0"/>
          <w:color w:val="auto"/>
          <w:highlight w:val="none"/>
          <w:lang w:eastAsia="zh-CN"/>
        </w:rPr>
        <w:t>财政拨款收入</w:t>
      </w:r>
      <w:r>
        <w:rPr>
          <w:rStyle w:val="31"/>
          <w:rFonts w:hint="eastAsia" w:ascii="仿宋" w:hAnsi="仿宋" w:eastAsia="仿宋"/>
          <w:b w:val="0"/>
          <w:bCs w:val="0"/>
          <w:color w:val="auto"/>
          <w:highlight w:val="none"/>
        </w:rPr>
        <w:t>支出决算表</w:t>
      </w:r>
    </w:p>
    <w:p>
      <w:pPr>
        <w:pStyle w:val="4"/>
        <w:rPr>
          <w:rFonts w:ascii="仿宋" w:hAnsi="仿宋" w:eastAsia="仿宋"/>
          <w:b w:val="0"/>
          <w:bCs w:val="0"/>
          <w:color w:val="auto"/>
          <w:highlight w:val="none"/>
        </w:rPr>
      </w:pPr>
      <w:bookmarkStart w:id="65" w:name="_Toc15396630"/>
      <w:r>
        <w:rPr>
          <w:rStyle w:val="31"/>
          <w:rFonts w:hint="eastAsia" w:ascii="仿宋" w:hAnsi="仿宋" w:eastAsia="仿宋"/>
          <w:b w:val="0"/>
          <w:bCs w:val="0"/>
          <w:color w:val="auto"/>
          <w:highlight w:val="none"/>
        </w:rPr>
        <w:t>十二、</w:t>
      </w:r>
      <w:bookmarkEnd w:id="65"/>
      <w:r>
        <w:rPr>
          <w:rStyle w:val="31"/>
          <w:rFonts w:hint="eastAsia" w:ascii="仿宋" w:hAnsi="仿宋" w:eastAsia="仿宋"/>
          <w:b w:val="0"/>
          <w:bCs w:val="0"/>
          <w:color w:val="auto"/>
          <w:highlight w:val="none"/>
          <w:lang w:eastAsia="zh-CN"/>
        </w:rPr>
        <w:t>国有资本经营预算财政拨款支出决算表</w:t>
      </w:r>
    </w:p>
    <w:p>
      <w:pPr>
        <w:pStyle w:val="4"/>
        <w:rPr>
          <w:rFonts w:hint="eastAsia" w:eastAsia="仿宋"/>
          <w:b w:val="0"/>
          <w:bCs w:val="0"/>
          <w:color w:val="auto"/>
          <w:highlight w:val="none"/>
          <w:lang w:eastAsia="zh-CN"/>
        </w:rPr>
      </w:pPr>
      <w:bookmarkStart w:id="66" w:name="_Toc15396631"/>
      <w:r>
        <w:rPr>
          <w:rStyle w:val="31"/>
          <w:rFonts w:hint="eastAsia" w:ascii="仿宋" w:hAnsi="仿宋" w:eastAsia="仿宋"/>
          <w:b w:val="0"/>
          <w:bCs w:val="0"/>
          <w:color w:val="auto"/>
          <w:highlight w:val="none"/>
        </w:rPr>
        <w:t>十三、</w:t>
      </w:r>
      <w:bookmarkEnd w:id="66"/>
      <w:r>
        <w:rPr>
          <w:rStyle w:val="31"/>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fal">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0000600000000000000"/>
    <w:charset w:val="86"/>
    <w:family w:val="script"/>
    <w:pitch w:val="default"/>
    <w:sig w:usb0="800002BF" w:usb1="184F6CF8" w:usb2="00000012" w:usb3="00000000" w:csb0="00160001" w:csb1="12030000"/>
  </w:font>
  <w:font w:name="方正仿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D4A94"/>
    <w:multiLevelType w:val="singleLevel"/>
    <w:tmpl w:val="BE5D4A94"/>
    <w:lvl w:ilvl="0" w:tentative="0">
      <w:start w:val="3"/>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MDIyNzQ0ZjgxYTJhZTE3YTI1NTYwZDYwN2ZiZ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54B3F82"/>
    <w:rsid w:val="066E0107"/>
    <w:rsid w:val="06D45C69"/>
    <w:rsid w:val="07996F6E"/>
    <w:rsid w:val="08B60FDF"/>
    <w:rsid w:val="09D172FD"/>
    <w:rsid w:val="0A2032A3"/>
    <w:rsid w:val="0CCC3A03"/>
    <w:rsid w:val="0F3C4B88"/>
    <w:rsid w:val="0F5D647E"/>
    <w:rsid w:val="0F98263C"/>
    <w:rsid w:val="101860EC"/>
    <w:rsid w:val="10C055FF"/>
    <w:rsid w:val="118107EC"/>
    <w:rsid w:val="12E3308D"/>
    <w:rsid w:val="13D50BC4"/>
    <w:rsid w:val="16936A9D"/>
    <w:rsid w:val="16BB723D"/>
    <w:rsid w:val="1BE8440E"/>
    <w:rsid w:val="1D155CEE"/>
    <w:rsid w:val="1FF35744"/>
    <w:rsid w:val="218B06AB"/>
    <w:rsid w:val="23860B96"/>
    <w:rsid w:val="23D514B9"/>
    <w:rsid w:val="240371BF"/>
    <w:rsid w:val="29FD04D3"/>
    <w:rsid w:val="2C8A61B5"/>
    <w:rsid w:val="2DF04E50"/>
    <w:rsid w:val="2F040D46"/>
    <w:rsid w:val="2F391C13"/>
    <w:rsid w:val="319F7F4E"/>
    <w:rsid w:val="322B7FB4"/>
    <w:rsid w:val="32C0175E"/>
    <w:rsid w:val="3304709D"/>
    <w:rsid w:val="34010FC7"/>
    <w:rsid w:val="36AA5135"/>
    <w:rsid w:val="376D39B2"/>
    <w:rsid w:val="37E16F03"/>
    <w:rsid w:val="384B346A"/>
    <w:rsid w:val="38D469F0"/>
    <w:rsid w:val="3D98207C"/>
    <w:rsid w:val="3DDF7E2A"/>
    <w:rsid w:val="3E78745D"/>
    <w:rsid w:val="41997BE9"/>
    <w:rsid w:val="44E268DA"/>
    <w:rsid w:val="4A627F82"/>
    <w:rsid w:val="4B0E749A"/>
    <w:rsid w:val="4B4F25DA"/>
    <w:rsid w:val="4BE068DB"/>
    <w:rsid w:val="4D577224"/>
    <w:rsid w:val="4E061B3D"/>
    <w:rsid w:val="4EAB630A"/>
    <w:rsid w:val="4ECE2238"/>
    <w:rsid w:val="537E6D0A"/>
    <w:rsid w:val="56BA3575"/>
    <w:rsid w:val="58607961"/>
    <w:rsid w:val="5AF92295"/>
    <w:rsid w:val="5B626B18"/>
    <w:rsid w:val="5CD71FC4"/>
    <w:rsid w:val="68A61583"/>
    <w:rsid w:val="697928A7"/>
    <w:rsid w:val="6C4A05C8"/>
    <w:rsid w:val="6E7E3605"/>
    <w:rsid w:val="6FF5CC65"/>
    <w:rsid w:val="709C749E"/>
    <w:rsid w:val="715C0E4B"/>
    <w:rsid w:val="72734D90"/>
    <w:rsid w:val="73AD73D5"/>
    <w:rsid w:val="73B6EB34"/>
    <w:rsid w:val="744731E5"/>
    <w:rsid w:val="75876E48"/>
    <w:rsid w:val="76E3355F"/>
    <w:rsid w:val="778769C8"/>
    <w:rsid w:val="79EE5BA4"/>
    <w:rsid w:val="7A894339"/>
    <w:rsid w:val="7EE01A9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25"/>
    <w:qFormat/>
    <w:uiPriority w:val="99"/>
    <w:pPr>
      <w:tabs>
        <w:tab w:val="center" w:pos="4153"/>
        <w:tab w:val="right" w:pos="8306"/>
      </w:tabs>
      <w:snapToGrid w:val="0"/>
      <w:jc w:val="left"/>
    </w:pPr>
    <w:rPr>
      <w:rFonts w:ascii="Calibri" w:hAnsi="Calibri"/>
      <w:kern w:val="0"/>
      <w:sz w:val="18"/>
      <w:szCs w:val="18"/>
    </w:rPr>
  </w:style>
  <w:style w:type="paragraph" w:styleId="6">
    <w:name w:val="Normal Indent"/>
    <w:basedOn w:val="1"/>
    <w:qFormat/>
    <w:uiPriority w:val="0"/>
    <w:pPr>
      <w:ind w:firstLine="420" w:firstLineChars="200"/>
    </w:pPr>
  </w:style>
  <w:style w:type="paragraph" w:styleId="7">
    <w:name w:val="Salutation"/>
    <w:basedOn w:val="1"/>
    <w:next w:val="1"/>
    <w:qFormat/>
    <w:uiPriority w:val="99"/>
    <w:rPr>
      <w:rFonts w:eastAsia="宋体fal"/>
      <w:sz w:val="24"/>
      <w:szCs w:val="24"/>
    </w:rPr>
  </w:style>
  <w:style w:type="paragraph" w:styleId="8">
    <w:name w:val="Body Text"/>
    <w:basedOn w:val="1"/>
    <w:link w:val="27"/>
    <w:qFormat/>
    <w:uiPriority w:val="99"/>
    <w:pPr>
      <w:spacing w:beforeLines="30"/>
    </w:pPr>
    <w:rPr>
      <w:rFonts w:ascii="仿宋_GB2312" w:eastAsia="仿宋_GB2312"/>
      <w:kern w:val="0"/>
      <w:sz w:val="30"/>
    </w:rPr>
  </w:style>
  <w:style w:type="paragraph" w:styleId="9">
    <w:name w:val="Body Text Indent"/>
    <w:basedOn w:val="1"/>
    <w:qFormat/>
    <w:uiPriority w:val="0"/>
    <w:pPr>
      <w:spacing w:after="120"/>
      <w:ind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3"/>
    <w:semiHidden/>
    <w:unhideWhenUsed/>
    <w:qFormat/>
    <w:uiPriority w:val="99"/>
    <w:rPr>
      <w:sz w:val="18"/>
      <w:szCs w:val="18"/>
    </w:rPr>
  </w:style>
  <w:style w:type="paragraph" w:styleId="12">
    <w:name w:val="Body Text First Indent 2"/>
    <w:basedOn w:val="9"/>
    <w:unhideWhenUsed/>
    <w:qFormat/>
    <w:uiPriority w:val="99"/>
    <w:pPr>
      <w:ind w:firstLine="420" w:firstLineChars="200"/>
    </w:p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2"/>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11"/>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8575"/>
          <c:y val="0.132976916651752"/>
          <c:w val="0.927925"/>
          <c:h val="0.71656666666666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决算收入</c:v>
                </c:pt>
                <c:pt idx="1">
                  <c:v>决算支出</c:v>
                </c:pt>
              </c:strCache>
            </c:strRef>
          </c:cat>
          <c:val>
            <c:numRef>
              <c:f>Sheet1!$B$2:$B$5</c:f>
              <c:numCache>
                <c:formatCode>General</c:formatCode>
                <c:ptCount val="4"/>
                <c:pt idx="0">
                  <c:v>135.02</c:v>
                </c:pt>
                <c:pt idx="1">
                  <c:v>138.26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决算收入</c:v>
                </c:pt>
                <c:pt idx="1">
                  <c:v>决算支出</c:v>
                </c:pt>
              </c:strCache>
            </c:strRef>
          </c:cat>
          <c:val>
            <c:numRef>
              <c:f>Sheet1!$C$2:$C$5</c:f>
              <c:numCache>
                <c:formatCode>General</c:formatCode>
                <c:ptCount val="4"/>
                <c:pt idx="0">
                  <c:v>103.27</c:v>
                </c:pt>
                <c:pt idx="1">
                  <c:v>133.51</c:v>
                </c:pt>
              </c:numCache>
            </c:numRef>
          </c:val>
        </c:ser>
        <c:dLbls>
          <c:showLegendKey val="0"/>
          <c:showVal val="1"/>
          <c:showCatName val="0"/>
          <c:showSerName val="0"/>
          <c:showPercent val="0"/>
          <c:showBubbleSize val="0"/>
        </c:dLbls>
        <c:gapWidth val="219"/>
        <c:overlap val="-27"/>
        <c:axId val="474048021"/>
        <c:axId val="613862252"/>
      </c:barChart>
      <c:catAx>
        <c:axId val="474048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862252"/>
        <c:crosses val="autoZero"/>
        <c:auto val="1"/>
        <c:lblAlgn val="ctr"/>
        <c:lblOffset val="100"/>
        <c:noMultiLvlLbl val="0"/>
      </c:catAx>
      <c:valAx>
        <c:axId val="613862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048021"/>
        <c:crosses val="autoZero"/>
        <c:crossBetween val="between"/>
      </c:valAx>
      <c:spPr>
        <a:noFill/>
        <a:ln>
          <a:noFill/>
        </a:ln>
        <a:effectLst/>
      </c:spPr>
    </c:plotArea>
    <c:legend>
      <c:legendPos val="b"/>
      <c:layout>
        <c:manualLayout>
          <c:xMode val="edge"/>
          <c:yMode val="edge"/>
          <c:x val="0.06275"/>
          <c:y val="0.920669419691371"/>
          <c:w val="0.7555"/>
          <c:h val="0.05759617474462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2022年收入决算结构</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135.02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2022年支出决算结构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88.26</c:v>
                </c:pt>
                <c:pt idx="1">
                  <c:v>50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7"/>
          <c:y val="0.212631337106647"/>
          <c:w val="0.879925"/>
          <c:h val="0.57175586182208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Sheet1!$B$2:$B$5</c:f>
              <c:numCache>
                <c:formatCode>General</c:formatCode>
                <c:ptCount val="4"/>
                <c:pt idx="0">
                  <c:v>135.02</c:v>
                </c:pt>
                <c:pt idx="1">
                  <c:v>138.26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Sheet1!$C$2:$C$5</c:f>
              <c:numCache>
                <c:formatCode>General</c:formatCode>
                <c:ptCount val="4"/>
                <c:pt idx="0">
                  <c:v>103.27</c:v>
                </c:pt>
                <c:pt idx="1">
                  <c:v>133.51</c:v>
                </c:pt>
              </c:numCache>
            </c:numRef>
          </c:val>
        </c:ser>
        <c:dLbls>
          <c:showLegendKey val="0"/>
          <c:showVal val="1"/>
          <c:showCatName val="0"/>
          <c:showSerName val="0"/>
          <c:showPercent val="0"/>
          <c:showBubbleSize val="0"/>
        </c:dLbls>
        <c:gapWidth val="219"/>
        <c:overlap val="-27"/>
        <c:axId val="474048021"/>
        <c:axId val="613862252"/>
      </c:barChart>
      <c:catAx>
        <c:axId val="474048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862252"/>
        <c:crosses val="autoZero"/>
        <c:auto val="1"/>
        <c:lblAlgn val="ctr"/>
        <c:lblOffset val="100"/>
        <c:noMultiLvlLbl val="0"/>
      </c:catAx>
      <c:valAx>
        <c:axId val="613862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048021"/>
        <c:crosses val="autoZero"/>
        <c:crossBetween val="between"/>
      </c:valAx>
      <c:spPr>
        <a:noFill/>
        <a:ln>
          <a:noFill/>
        </a:ln>
        <a:effectLst/>
      </c:spPr>
    </c:plotArea>
    <c:legend>
      <c:legendPos val="b"/>
      <c:layout>
        <c:manualLayout>
          <c:xMode val="edge"/>
          <c:yMode val="edge"/>
          <c:x val="0.06275"/>
          <c:y val="0.920669419691371"/>
          <c:w val="0.7555"/>
          <c:h val="0.05759617474462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575"/>
          <c:y val="0.215423518997353"/>
          <c:w val="0.879925"/>
          <c:h val="0.57175586182208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财政拨款支出</c:v>
                </c:pt>
              </c:strCache>
            </c:strRef>
          </c:cat>
          <c:val>
            <c:numRef>
              <c:f>Sheet1!$B$2:$B$4</c:f>
              <c:numCache>
                <c:formatCode>General</c:formatCode>
                <c:ptCount val="3"/>
                <c:pt idx="0">
                  <c:v>138.26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财政拨款支出</c:v>
                </c:pt>
              </c:strCache>
            </c:strRef>
          </c:cat>
          <c:val>
            <c:numRef>
              <c:f>Sheet1!$C$2:$C$4</c:f>
              <c:numCache>
                <c:formatCode>General</c:formatCode>
                <c:ptCount val="3"/>
                <c:pt idx="0">
                  <c:v>133.51</c:v>
                </c:pt>
              </c:numCache>
            </c:numRef>
          </c:val>
        </c:ser>
        <c:dLbls>
          <c:showLegendKey val="0"/>
          <c:showVal val="1"/>
          <c:showCatName val="0"/>
          <c:showSerName val="0"/>
          <c:showPercent val="0"/>
          <c:showBubbleSize val="0"/>
        </c:dLbls>
        <c:gapWidth val="219"/>
        <c:overlap val="-27"/>
        <c:axId val="474048021"/>
        <c:axId val="613862252"/>
      </c:barChart>
      <c:catAx>
        <c:axId val="474048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862252"/>
        <c:crosses val="autoZero"/>
        <c:auto val="1"/>
        <c:lblAlgn val="ctr"/>
        <c:lblOffset val="100"/>
        <c:noMultiLvlLbl val="0"/>
      </c:catAx>
      <c:valAx>
        <c:axId val="613862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048021"/>
        <c:crosses val="autoZero"/>
        <c:crossBetween val="between"/>
      </c:valAx>
      <c:spPr>
        <a:noFill/>
        <a:ln>
          <a:noFill/>
        </a:ln>
        <a:effectLst/>
      </c:spPr>
    </c:plotArea>
    <c:legend>
      <c:legendPos val="b"/>
      <c:layout>
        <c:manualLayout>
          <c:xMode val="edge"/>
          <c:yMode val="edge"/>
          <c:x val="0.05775"/>
          <c:y val="0.925854900345539"/>
          <c:w val="0.7555"/>
          <c:h val="0.05759617474462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layout>
                <c:manualLayout>
                  <c:x val="0.0138805167726154"/>
                  <c:y val="0.081387150456996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123.36</c:v>
                </c:pt>
                <c:pt idx="1">
                  <c:v>7.32</c:v>
                </c:pt>
                <c:pt idx="2">
                  <c:v>3.26</c:v>
                </c:pt>
                <c:pt idx="3">
                  <c:v>4.32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7268</Words>
  <Characters>7944</Characters>
  <Lines>61</Lines>
  <Paragraphs>17</Paragraphs>
  <TotalTime>0</TotalTime>
  <ScaleCrop>false</ScaleCrop>
  <LinksUpToDate>false</LinksUpToDate>
  <CharactersWithSpaces>7968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张永</cp:lastModifiedBy>
  <cp:lastPrinted>2023-07-31T02:35:00Z</cp:lastPrinted>
  <dcterms:modified xsi:type="dcterms:W3CDTF">2023-12-14T01:17:21Z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FA522A1F07944B5A8B3FF9651125F79C</vt:lpwstr>
  </property>
</Properties>
</file>